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5940DB" w:rsidRDefault="00087BA2">
      <w:pPr>
        <w:tabs>
          <w:tab w:val="center" w:pos="4536"/>
          <w:tab w:val="right" w:pos="9072"/>
        </w:tabs>
        <w:spacing w:before="120" w:after="120"/>
        <w:rPr>
          <w:b/>
          <w:sz w:val="24"/>
          <w:szCs w:val="24"/>
        </w:rPr>
      </w:pPr>
      <w:r>
        <w:rPr>
          <w:rFonts w:eastAsia="Batang"/>
          <w:b/>
          <w:sz w:val="24"/>
          <w:szCs w:val="24"/>
          <w:lang w:eastAsia="ja-JP"/>
        </w:rPr>
        <w:t>3GPP TSG RAN WG1 #10</w:t>
      </w:r>
      <w:r>
        <w:rPr>
          <w:b/>
          <w:sz w:val="24"/>
          <w:szCs w:val="24"/>
        </w:rPr>
        <w:t>7</w:t>
      </w:r>
      <w:r>
        <w:rPr>
          <w:rFonts w:eastAsia="Batang"/>
          <w:b/>
          <w:sz w:val="24"/>
          <w:szCs w:val="24"/>
          <w:lang w:eastAsia="ja-JP"/>
        </w:rPr>
        <w:t>-e</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w:t>
      </w:r>
      <w:bookmarkEnd w:id="0"/>
      <w:r>
        <w:rPr>
          <w:rFonts w:eastAsia="Batang"/>
          <w:b/>
          <w:sz w:val="24"/>
          <w:szCs w:val="24"/>
          <w:lang w:eastAsia="ja-JP"/>
        </w:rPr>
        <w:t>R1-2110943</w:t>
      </w:r>
    </w:p>
    <w:p w:rsidR="005940DB" w:rsidRDefault="00087BA2">
      <w:pPr>
        <w:tabs>
          <w:tab w:val="center" w:pos="4536"/>
          <w:tab w:val="right" w:pos="9072"/>
        </w:tabs>
        <w:spacing w:before="120" w:after="120"/>
        <w:rPr>
          <w:rFonts w:eastAsia="Batang"/>
          <w:b/>
          <w:sz w:val="24"/>
          <w:szCs w:val="24"/>
          <w:lang w:eastAsia="ja-JP"/>
        </w:rPr>
      </w:pPr>
      <w:r>
        <w:rPr>
          <w:rFonts w:eastAsia="Batang"/>
          <w:b/>
          <w:sz w:val="24"/>
          <w:szCs w:val="24"/>
          <w:lang w:eastAsia="ja-JP"/>
        </w:rPr>
        <w:t xml:space="preserve">e-Meeting, </w:t>
      </w:r>
      <w:r>
        <w:rPr>
          <w:rFonts w:hint="eastAsia"/>
          <w:b/>
          <w:sz w:val="24"/>
          <w:szCs w:val="24"/>
        </w:rPr>
        <w:t>Nov</w:t>
      </w:r>
      <w:r>
        <w:rPr>
          <w:b/>
          <w:sz w:val="24"/>
          <w:szCs w:val="24"/>
        </w:rPr>
        <w:t>.</w:t>
      </w:r>
      <w:r>
        <w:rPr>
          <w:rFonts w:eastAsia="Batang"/>
          <w:b/>
          <w:sz w:val="24"/>
          <w:szCs w:val="24"/>
          <w:lang w:eastAsia="ja-JP"/>
        </w:rPr>
        <w:t xml:space="preserve"> </w:t>
      </w:r>
      <w:r>
        <w:rPr>
          <w:rFonts w:hint="eastAsia"/>
          <w:b/>
          <w:sz w:val="24"/>
          <w:szCs w:val="24"/>
        </w:rPr>
        <w:t>11</w:t>
      </w:r>
      <w:r>
        <w:rPr>
          <w:rFonts w:eastAsia="Batang"/>
          <w:b/>
          <w:sz w:val="24"/>
          <w:szCs w:val="24"/>
          <w:vertAlign w:val="superscript"/>
          <w:lang w:eastAsia="ja-JP"/>
        </w:rPr>
        <w:t>th</w:t>
      </w:r>
      <w:r>
        <w:rPr>
          <w:rFonts w:eastAsia="Batang"/>
          <w:b/>
          <w:sz w:val="24"/>
          <w:szCs w:val="24"/>
          <w:lang w:eastAsia="ja-JP"/>
        </w:rPr>
        <w:t xml:space="preserve"> – </w:t>
      </w:r>
      <w:r>
        <w:rPr>
          <w:rFonts w:hint="eastAsia"/>
          <w:b/>
          <w:sz w:val="24"/>
          <w:szCs w:val="24"/>
        </w:rPr>
        <w:t>Nov</w:t>
      </w:r>
      <w:r>
        <w:rPr>
          <w:b/>
          <w:sz w:val="24"/>
          <w:szCs w:val="24"/>
        </w:rPr>
        <w:t>.</w:t>
      </w:r>
      <w:r>
        <w:rPr>
          <w:rFonts w:hint="eastAsia"/>
          <w:b/>
          <w:sz w:val="24"/>
          <w:szCs w:val="24"/>
        </w:rPr>
        <w:t xml:space="preserve"> 19</w:t>
      </w:r>
      <w:r>
        <w:rPr>
          <w:rFonts w:eastAsia="Batang"/>
          <w:b/>
          <w:sz w:val="24"/>
          <w:szCs w:val="24"/>
          <w:vertAlign w:val="superscript"/>
          <w:lang w:eastAsia="ja-JP"/>
        </w:rPr>
        <w:t>th</w:t>
      </w:r>
      <w:r>
        <w:rPr>
          <w:rFonts w:eastAsia="Batang"/>
          <w:b/>
          <w:sz w:val="24"/>
          <w:szCs w:val="24"/>
          <w:lang w:eastAsia="ja-JP"/>
        </w:rPr>
        <w:t>, 2021</w:t>
      </w:r>
    </w:p>
    <w:p w:rsidR="005940DB" w:rsidRDefault="00087BA2">
      <w:pPr>
        <w:tabs>
          <w:tab w:val="center" w:pos="4536"/>
          <w:tab w:val="right" w:pos="9072"/>
        </w:tabs>
        <w:spacing w:before="120" w:after="120"/>
        <w:rPr>
          <w:b/>
          <w:sz w:val="22"/>
          <w:szCs w:val="22"/>
        </w:rPr>
      </w:pPr>
      <w:r>
        <w:rPr>
          <w:b/>
          <w:sz w:val="22"/>
          <w:szCs w:val="22"/>
        </w:rPr>
        <w:tab/>
      </w:r>
    </w:p>
    <w:p w:rsidR="005940DB" w:rsidRDefault="00087BA2">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rsidR="005940DB" w:rsidRDefault="00087BA2">
      <w:pPr>
        <w:tabs>
          <w:tab w:val="left" w:pos="1985"/>
        </w:tabs>
        <w:spacing w:before="120" w:after="120" w:line="240" w:lineRule="auto"/>
        <w:ind w:left="1980" w:hanging="1980"/>
        <w:rPr>
          <w:b/>
          <w:sz w:val="22"/>
          <w:szCs w:val="22"/>
        </w:rPr>
      </w:pPr>
      <w:r>
        <w:rPr>
          <w:b/>
          <w:sz w:val="22"/>
          <w:szCs w:val="22"/>
        </w:rPr>
        <w:t>Title:</w:t>
      </w:r>
      <w:r>
        <w:rPr>
          <w:b/>
          <w:sz w:val="22"/>
          <w:szCs w:val="22"/>
        </w:rPr>
        <w:tab/>
        <w:t>Discussion on UE feature for UE power saving enhancements</w:t>
      </w:r>
    </w:p>
    <w:p w:rsidR="005940DB" w:rsidRDefault="00087BA2">
      <w:pPr>
        <w:tabs>
          <w:tab w:val="left" w:pos="1985"/>
        </w:tabs>
        <w:spacing w:before="120" w:after="120" w:line="240" w:lineRule="auto"/>
        <w:rPr>
          <w:b/>
          <w:sz w:val="22"/>
          <w:szCs w:val="22"/>
        </w:rPr>
      </w:pPr>
      <w:r>
        <w:rPr>
          <w:b/>
          <w:sz w:val="22"/>
          <w:szCs w:val="22"/>
          <w:lang w:val="pt-BR"/>
        </w:rPr>
        <w:t>Agenda item:</w:t>
      </w:r>
      <w:r>
        <w:rPr>
          <w:b/>
          <w:sz w:val="22"/>
          <w:szCs w:val="22"/>
          <w:lang w:val="pt-BR"/>
        </w:rPr>
        <w:tab/>
        <w:t>8.16.7</w:t>
      </w:r>
    </w:p>
    <w:p w:rsidR="005940DB" w:rsidRDefault="00087BA2">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5940DB" w:rsidRDefault="00087BA2">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5940DB" w:rsidRDefault="00087BA2">
      <w:pPr>
        <w:spacing w:before="120" w:after="120"/>
      </w:pPr>
      <w:r>
        <w:t>The UE feature</w:t>
      </w:r>
      <w:r>
        <w:t xml:space="preserve"> list for UE power saving enhancement can be found in the appendix according to the agreements in</w:t>
      </w:r>
      <w:r>
        <w:rPr>
          <w:rFonts w:hint="eastAsia"/>
        </w:rPr>
        <w:t xml:space="preserve"> RAN</w:t>
      </w:r>
      <w:r>
        <w:t>1</w:t>
      </w:r>
      <w:r>
        <w:rPr>
          <w:rFonts w:hint="eastAsia"/>
        </w:rPr>
        <w:t>#</w:t>
      </w:r>
      <w:r>
        <w:t>106bis</w:t>
      </w:r>
      <w:r>
        <w:rPr>
          <w:rFonts w:hint="eastAsia"/>
        </w:rPr>
        <w:t>-e meeting</w:t>
      </w:r>
      <w:r>
        <w:rPr>
          <w:rFonts w:hint="eastAsia"/>
        </w:rPr>
        <w:t>.</w:t>
      </w:r>
      <w:r>
        <w:t xml:space="preserve"> </w:t>
      </w:r>
      <w:r>
        <w:rPr>
          <w:rFonts w:hint="eastAsia"/>
        </w:rPr>
        <w:t>In this contribution,</w:t>
      </w:r>
      <w:r>
        <w:t xml:space="preserve"> more details are further discussed.</w:t>
      </w:r>
      <w:r>
        <w:rPr>
          <w:rFonts w:hint="eastAsia"/>
        </w:rPr>
        <w:t xml:space="preserve"> </w:t>
      </w:r>
    </w:p>
    <w:p w:rsidR="005940DB" w:rsidRDefault="00087BA2">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Discussion</w:t>
      </w:r>
    </w:p>
    <w:p w:rsidR="005940DB" w:rsidRDefault="00087BA2">
      <w:pPr>
        <w:pStyle w:val="2"/>
        <w:numPr>
          <w:ilvl w:val="0"/>
          <w:numId w:val="8"/>
        </w:numPr>
        <w:spacing w:before="120" w:after="120" w:line="260" w:lineRule="auto"/>
        <w:ind w:right="210"/>
        <w:rPr>
          <w:rFonts w:ascii="Times New Roman" w:eastAsia="宋体" w:hAnsi="Times New Roman"/>
          <w:b/>
          <w:bCs/>
          <w:sz w:val="22"/>
          <w:szCs w:val="22"/>
        </w:rPr>
      </w:pPr>
      <w:r>
        <w:rPr>
          <w:rFonts w:ascii="Times New Roman" w:eastAsia="宋体" w:hAnsi="Times New Roman"/>
          <w:b/>
          <w:bCs/>
          <w:sz w:val="22"/>
          <w:szCs w:val="22"/>
        </w:rPr>
        <w:t>29-1 paging enhancement</w:t>
      </w:r>
    </w:p>
    <w:p w:rsidR="005940DB" w:rsidRDefault="00087BA2">
      <w:pPr>
        <w:spacing w:before="120" w:after="120"/>
      </w:pPr>
      <w:r>
        <w:t>There are</w:t>
      </w:r>
      <w:r>
        <w:t xml:space="preserve"> two different UE sub-grouping methods (i.e., UE-ID based subgrouping and network assigned sub-grouping) discussed in RAN2 and the details have not been finalized yet, whether </w:t>
      </w:r>
      <w:r>
        <w:t xml:space="preserve">sub-grouping </w:t>
      </w:r>
      <w:r w:rsidR="007C5F99">
        <w:t>can</w:t>
      </w:r>
      <w:r>
        <w:t xml:space="preserve"> be </w:t>
      </w:r>
      <w:r w:rsidR="007C5F99">
        <w:t>a separate capability</w:t>
      </w:r>
      <w:r>
        <w:t xml:space="preserve"> may have impact on the design of detailed sub-groups in RAN2 and SA. Therefore, it is suggested that the aspects, such as whether UE sub-grouping is a separate feature and whether FG 29-1 needs capability signaling, should be discussed in RAN2.</w:t>
      </w:r>
    </w:p>
    <w:p w:rsidR="005940DB" w:rsidRDefault="00087BA2">
      <w:pPr>
        <w:spacing w:before="120" w:after="120"/>
      </w:pPr>
      <w:r>
        <w:t xml:space="preserve">As to the </w:t>
      </w:r>
      <w:r>
        <w:t>type of UE FG 29-1, per-UE is sufficient.</w:t>
      </w:r>
    </w:p>
    <w:p w:rsidR="005940DB" w:rsidRDefault="00087BA2">
      <w:pPr>
        <w:spacing w:before="120" w:after="120"/>
      </w:pPr>
      <w:r>
        <w:t>For the consequence of not supporting FG 29-1, it is suggested to be updated as “UE doesn’t support paging early indication or paging sub-grouping”.</w:t>
      </w:r>
    </w:p>
    <w:p w:rsidR="005940DB" w:rsidRDefault="005940DB">
      <w:pPr>
        <w:spacing w:before="120" w:after="120"/>
      </w:pPr>
    </w:p>
    <w:p w:rsidR="005940DB" w:rsidRDefault="00087BA2">
      <w:pPr>
        <w:pStyle w:val="YJ-Proposal"/>
        <w:spacing w:before="120" w:after="120"/>
        <w:rPr>
          <w:rFonts w:eastAsia="宋体"/>
        </w:rPr>
      </w:pPr>
      <w:bookmarkStart w:id="1" w:name="_Toc86954363"/>
      <w:r>
        <w:rPr>
          <w:i w:val="0"/>
        </w:rPr>
        <w:t>As to feature group 29-1, the following is suggested.</w:t>
      </w:r>
      <w:bookmarkEnd w:id="1"/>
    </w:p>
    <w:p w:rsidR="005940DB" w:rsidRDefault="00087BA2">
      <w:pPr>
        <w:pStyle w:val="YJ-Proposal"/>
        <w:numPr>
          <w:ilvl w:val="0"/>
          <w:numId w:val="9"/>
        </w:numPr>
        <w:spacing w:before="120" w:after="120"/>
        <w:jc w:val="both"/>
        <w:rPr>
          <w:i w:val="0"/>
        </w:rPr>
      </w:pPr>
      <w:bookmarkStart w:id="2" w:name="_Toc86954364"/>
      <w:r>
        <w:rPr>
          <w:i w:val="0"/>
        </w:rPr>
        <w:t xml:space="preserve">It should </w:t>
      </w:r>
      <w:r>
        <w:rPr>
          <w:i w:val="0"/>
        </w:rPr>
        <w:t>be decided by RAN2 whether UE sub-grouping is a separate feature and whether FG 29-1 needs capability signalling</w:t>
      </w:r>
      <w:bookmarkEnd w:id="2"/>
    </w:p>
    <w:p w:rsidR="005940DB" w:rsidRDefault="00087BA2">
      <w:pPr>
        <w:pStyle w:val="YJ-Proposal"/>
        <w:numPr>
          <w:ilvl w:val="0"/>
          <w:numId w:val="9"/>
        </w:numPr>
        <w:spacing w:before="120" w:after="120"/>
        <w:jc w:val="both"/>
        <w:rPr>
          <w:rFonts w:eastAsia="宋体"/>
          <w:i w:val="0"/>
        </w:rPr>
      </w:pPr>
      <w:bookmarkStart w:id="3" w:name="_Toc86954365"/>
      <w:r>
        <w:rPr>
          <w:rFonts w:eastAsia="宋体"/>
          <w:i w:val="0"/>
        </w:rPr>
        <w:t>The capability type is per UE</w:t>
      </w:r>
      <w:bookmarkEnd w:id="3"/>
    </w:p>
    <w:p w:rsidR="005940DB" w:rsidRDefault="00087BA2">
      <w:pPr>
        <w:pStyle w:val="YJ-Proposal"/>
        <w:numPr>
          <w:ilvl w:val="0"/>
          <w:numId w:val="9"/>
        </w:numPr>
        <w:spacing w:before="120" w:after="120"/>
        <w:jc w:val="both"/>
        <w:rPr>
          <w:rFonts w:eastAsia="宋体"/>
          <w:i w:val="0"/>
        </w:rPr>
      </w:pPr>
      <w:bookmarkStart w:id="4" w:name="_Toc86954366"/>
      <w:r>
        <w:rPr>
          <w:rFonts w:eastAsia="宋体"/>
          <w:i w:val="0"/>
        </w:rPr>
        <w:t>Update the consequence as “</w:t>
      </w:r>
      <w:r>
        <w:rPr>
          <w:i w:val="0"/>
        </w:rPr>
        <w:t>UE doesn’t support paging early indication or paging sub-grouping</w:t>
      </w:r>
      <w:r>
        <w:rPr>
          <w:rFonts w:eastAsia="宋体"/>
          <w:i w:val="0"/>
        </w:rPr>
        <w:t>”</w:t>
      </w:r>
      <w:bookmarkEnd w:id="4"/>
    </w:p>
    <w:p w:rsidR="005940DB" w:rsidRDefault="005940DB">
      <w:pPr>
        <w:pStyle w:val="YJ-Proposal"/>
        <w:numPr>
          <w:ilvl w:val="0"/>
          <w:numId w:val="0"/>
        </w:numPr>
        <w:spacing w:before="120" w:after="120"/>
        <w:ind w:left="720"/>
        <w:jc w:val="both"/>
        <w:rPr>
          <w:rFonts w:eastAsia="宋体"/>
          <w:i w:val="0"/>
        </w:rPr>
      </w:pPr>
    </w:p>
    <w:p w:rsidR="005940DB" w:rsidRDefault="00087BA2">
      <w:pPr>
        <w:pStyle w:val="2"/>
        <w:numPr>
          <w:ilvl w:val="0"/>
          <w:numId w:val="8"/>
        </w:numPr>
        <w:spacing w:before="120" w:after="120" w:line="260" w:lineRule="auto"/>
        <w:ind w:right="210"/>
        <w:rPr>
          <w:rFonts w:ascii="Times New Roman" w:eastAsia="宋体" w:hAnsi="Times New Roman"/>
          <w:b/>
          <w:bCs/>
          <w:sz w:val="22"/>
          <w:szCs w:val="22"/>
        </w:rPr>
      </w:pPr>
      <w:r>
        <w:rPr>
          <w:rFonts w:ascii="Times New Roman" w:eastAsia="宋体" w:hAnsi="Times New Roman"/>
          <w:b/>
          <w:bCs/>
          <w:sz w:val="22"/>
          <w:szCs w:val="22"/>
        </w:rPr>
        <w:t>29-2 TRS</w:t>
      </w:r>
    </w:p>
    <w:p w:rsidR="005940DB" w:rsidRDefault="00087BA2">
      <w:pPr>
        <w:spacing w:before="120" w:after="120"/>
      </w:pPr>
      <w:r>
        <w:t xml:space="preserve">For </w:t>
      </w:r>
      <w:r>
        <w:t>feature group 29-2, it can be optional without UE capability signaling.</w:t>
      </w:r>
    </w:p>
    <w:p w:rsidR="005940DB" w:rsidRDefault="00087BA2">
      <w:pPr>
        <w:spacing w:before="120" w:after="120"/>
        <w:rPr>
          <w:rFonts w:ascii="Times" w:hAnsi="Times"/>
        </w:rPr>
      </w:pPr>
      <w:r>
        <w:rPr>
          <w:rFonts w:ascii="Times" w:hAnsi="Times"/>
        </w:rPr>
        <w:t>According to the following agreements, UE assumes the TRS is not presen</w:t>
      </w:r>
      <w:r w:rsidR="007C5F99">
        <w:rPr>
          <w:rFonts w:ascii="Times" w:hAnsi="Times"/>
        </w:rPr>
        <w:t>t if network does not indicate</w:t>
      </w:r>
      <w:r>
        <w:rPr>
          <w:rFonts w:ascii="Times" w:hAnsi="Times"/>
        </w:rPr>
        <w:t xml:space="preserve"> it is available and the SIB-based availability indication is not supported due t</w:t>
      </w:r>
      <w:r>
        <w:rPr>
          <w:rFonts w:ascii="Times" w:hAnsi="Times"/>
        </w:rPr>
        <w:t>o the lack of consensus. Therefore, if UE does not support to receive the L1 signaling with TRS availability information, the TRS UE read from SIB cannot be assumed to be available for synchronization. In this sense, there is no need for UE to read TRS con</w:t>
      </w:r>
      <w:r>
        <w:rPr>
          <w:rFonts w:ascii="Times" w:hAnsi="Times"/>
        </w:rPr>
        <w:t>figuration from SIB. Therefore, UE should support both reading TRS configuration from SIB and receiving L1 indication for TRS availability if UE would like to use the assistance TRS for synchronization. There is no need to have a separate feature of receiv</w:t>
      </w:r>
      <w:r>
        <w:rPr>
          <w:rFonts w:ascii="Times" w:hAnsi="Times"/>
        </w:rPr>
        <w:t>ing the L1 signaling with TRS availability information.</w:t>
      </w:r>
    </w:p>
    <w:tbl>
      <w:tblPr>
        <w:tblStyle w:val="ac"/>
        <w:tblW w:w="0" w:type="auto"/>
        <w:tblLook w:val="04A0" w:firstRow="1" w:lastRow="0" w:firstColumn="1" w:lastColumn="0" w:noHBand="0" w:noVBand="1"/>
      </w:tblPr>
      <w:tblGrid>
        <w:gridCol w:w="9876"/>
      </w:tblGrid>
      <w:tr w:rsidR="005940DB">
        <w:tc>
          <w:tcPr>
            <w:tcW w:w="9876" w:type="dxa"/>
          </w:tcPr>
          <w:p w:rsidR="005940DB" w:rsidRDefault="00087BA2">
            <w:pPr>
              <w:overflowPunct w:val="0"/>
              <w:autoSpaceDE w:val="0"/>
              <w:autoSpaceDN w:val="0"/>
              <w:adjustRightInd w:val="0"/>
              <w:spacing w:before="120" w:after="120"/>
              <w:textAlignment w:val="baseline"/>
              <w:rPr>
                <w:sz w:val="20"/>
              </w:rPr>
            </w:pPr>
            <w:r>
              <w:rPr>
                <w:sz w:val="20"/>
                <w:highlight w:val="green"/>
              </w:rPr>
              <w:lastRenderedPageBreak/>
              <w:t>Agreements:</w:t>
            </w:r>
          </w:p>
          <w:p w:rsidR="005940DB" w:rsidRDefault="00087BA2">
            <w:pPr>
              <w:overflowPunct w:val="0"/>
              <w:autoSpaceDE w:val="0"/>
              <w:autoSpaceDN w:val="0"/>
              <w:adjustRightInd w:val="0"/>
              <w:spacing w:before="120" w:after="120"/>
              <w:textAlignment w:val="baseline"/>
              <w:rPr>
                <w:rFonts w:eastAsia="MS Gothic"/>
                <w:sz w:val="20"/>
              </w:rPr>
            </w:pPr>
            <w:r>
              <w:rPr>
                <w:sz w:val="20"/>
              </w:rPr>
              <w:t>For a cell with TRS/CSI-RS occasions configured for IDLE/Inactive Ues, IDLE/Inactive UE’s assumption on the availability of TRS/CSI-RS at the configured occasion(s) is informed to the idle</w:t>
            </w:r>
            <w:r>
              <w:rPr>
                <w:sz w:val="20"/>
              </w:rPr>
              <w:t>/inactive UE based on explicit indication.</w:t>
            </w:r>
          </w:p>
          <w:p w:rsidR="005940DB" w:rsidRDefault="00087BA2">
            <w:pPr>
              <w:numPr>
                <w:ilvl w:val="0"/>
                <w:numId w:val="10"/>
              </w:numPr>
              <w:overflowPunct w:val="0"/>
              <w:autoSpaceDE w:val="0"/>
              <w:autoSpaceDN w:val="0"/>
              <w:adjustRightInd w:val="0"/>
              <w:spacing w:beforeLines="0" w:before="120" w:afterLines="0" w:after="120" w:line="256" w:lineRule="auto"/>
              <w:jc w:val="left"/>
              <w:textAlignment w:val="baseline"/>
              <w:rPr>
                <w:sz w:val="20"/>
              </w:rPr>
            </w:pPr>
            <w:r>
              <w:rPr>
                <w:sz w:val="20"/>
              </w:rPr>
              <w:t>FFS details (e.g., the signalling, detailed information for the TRS/CSI-RS, etc.)</w:t>
            </w:r>
          </w:p>
          <w:p w:rsidR="005940DB" w:rsidRDefault="00087BA2">
            <w:pPr>
              <w:numPr>
                <w:ilvl w:val="0"/>
                <w:numId w:val="10"/>
              </w:numPr>
              <w:overflowPunct w:val="0"/>
              <w:autoSpaceDE w:val="0"/>
              <w:autoSpaceDN w:val="0"/>
              <w:adjustRightInd w:val="0"/>
              <w:spacing w:beforeLines="0" w:before="120" w:afterLines="0" w:after="120" w:line="256" w:lineRule="auto"/>
              <w:jc w:val="left"/>
              <w:textAlignment w:val="baseline"/>
              <w:rPr>
                <w:b/>
                <w:sz w:val="20"/>
                <w:highlight w:val="yellow"/>
              </w:rPr>
            </w:pPr>
            <w:r>
              <w:rPr>
                <w:sz w:val="20"/>
              </w:rPr>
              <w:t>There is no intended blind detection of the presence/absence of TRS/CSI-RS at the UE side in this feature.</w:t>
            </w:r>
            <w:r>
              <w:rPr>
                <w:b/>
                <w:sz w:val="20"/>
              </w:rPr>
              <w:t xml:space="preserve"> That is, the UE assumes </w:t>
            </w:r>
            <w:r>
              <w:rPr>
                <w:b/>
                <w:sz w:val="20"/>
              </w:rPr>
              <w:t>TRS/CSI-RS is not present if the network does not indicate it is available (or indicates it is unavailable).</w:t>
            </w:r>
          </w:p>
        </w:tc>
      </w:tr>
      <w:tr w:rsidR="005940DB">
        <w:tc>
          <w:tcPr>
            <w:tcW w:w="9876" w:type="dxa"/>
          </w:tcPr>
          <w:p w:rsidR="005940DB" w:rsidRDefault="00087BA2">
            <w:pPr>
              <w:spacing w:before="120" w:afterLines="0" w:after="0"/>
              <w:rPr>
                <w:rFonts w:eastAsia="Gulim"/>
              </w:rPr>
            </w:pPr>
            <w:r>
              <w:rPr>
                <w:rFonts w:eastAsia="Gulim"/>
              </w:rPr>
              <w:t>Conclusion</w:t>
            </w:r>
          </w:p>
          <w:p w:rsidR="005940DB" w:rsidRDefault="00087BA2">
            <w:pPr>
              <w:autoSpaceDE w:val="0"/>
              <w:autoSpaceDN w:val="0"/>
              <w:snapToGrid w:val="0"/>
              <w:spacing w:beforeLines="0" w:before="0" w:afterLines="0" w:after="0"/>
              <w:rPr>
                <w:rFonts w:eastAsia="Gulim"/>
                <w:strike/>
              </w:rPr>
            </w:pPr>
            <w:r>
              <w:rPr>
                <w:rFonts w:eastAsia="Gulim"/>
              </w:rPr>
              <w:t>No consensus to support SIB based signaling for availability information of TRS/CSI-RS occasions for idle/inactive UEs</w:t>
            </w:r>
          </w:p>
        </w:tc>
      </w:tr>
    </w:tbl>
    <w:p w:rsidR="005940DB" w:rsidRDefault="005940DB">
      <w:pPr>
        <w:spacing w:before="120" w:after="120"/>
      </w:pPr>
    </w:p>
    <w:p w:rsidR="005940DB" w:rsidRDefault="00087BA2">
      <w:pPr>
        <w:pStyle w:val="YJ-Proposal"/>
        <w:spacing w:before="120" w:after="120"/>
        <w:rPr>
          <w:rFonts w:eastAsia="宋体"/>
        </w:rPr>
      </w:pPr>
      <w:bookmarkStart w:id="5" w:name="_Toc86954367"/>
      <w:r>
        <w:rPr>
          <w:i w:val="0"/>
        </w:rPr>
        <w:t xml:space="preserve">As to feature </w:t>
      </w:r>
      <w:r>
        <w:rPr>
          <w:i w:val="0"/>
        </w:rPr>
        <w:t>group 29-2, the following is suggested.</w:t>
      </w:r>
      <w:bookmarkEnd w:id="5"/>
    </w:p>
    <w:p w:rsidR="005940DB" w:rsidRDefault="00087BA2">
      <w:pPr>
        <w:pStyle w:val="YJ-Proposal"/>
        <w:numPr>
          <w:ilvl w:val="0"/>
          <w:numId w:val="9"/>
        </w:numPr>
        <w:spacing w:before="120" w:after="120"/>
        <w:jc w:val="both"/>
        <w:rPr>
          <w:rFonts w:eastAsia="宋体"/>
          <w:i w:val="0"/>
        </w:rPr>
      </w:pPr>
      <w:bookmarkStart w:id="6" w:name="_Toc86954368"/>
      <w:r>
        <w:rPr>
          <w:rFonts w:eastAsia="宋体"/>
          <w:i w:val="0"/>
        </w:rPr>
        <w:t>Receiving the L1 signaling with TRS availability information should not be separated from FG 29-2.</w:t>
      </w:r>
      <w:bookmarkEnd w:id="6"/>
    </w:p>
    <w:p w:rsidR="005940DB" w:rsidRDefault="00087BA2">
      <w:pPr>
        <w:pStyle w:val="YJ-Proposal"/>
        <w:numPr>
          <w:ilvl w:val="0"/>
          <w:numId w:val="9"/>
        </w:numPr>
        <w:spacing w:before="120" w:after="120"/>
        <w:jc w:val="both"/>
        <w:rPr>
          <w:rFonts w:eastAsia="宋体"/>
          <w:i w:val="0"/>
        </w:rPr>
      </w:pPr>
      <w:bookmarkStart w:id="7" w:name="_Toc86954369"/>
      <w:r>
        <w:rPr>
          <w:rFonts w:eastAsia="宋体"/>
          <w:i w:val="0"/>
        </w:rPr>
        <w:t>The capability type is per UE</w:t>
      </w:r>
      <w:bookmarkEnd w:id="7"/>
    </w:p>
    <w:p w:rsidR="005940DB" w:rsidRDefault="005940DB">
      <w:pPr>
        <w:pStyle w:val="YJ-Proposal"/>
        <w:numPr>
          <w:ilvl w:val="0"/>
          <w:numId w:val="0"/>
        </w:numPr>
        <w:spacing w:before="120" w:after="120"/>
        <w:jc w:val="both"/>
        <w:rPr>
          <w:rFonts w:eastAsia="宋体"/>
          <w:i w:val="0"/>
        </w:rPr>
      </w:pPr>
    </w:p>
    <w:p w:rsidR="005940DB" w:rsidRDefault="00087BA2">
      <w:pPr>
        <w:pStyle w:val="2"/>
        <w:numPr>
          <w:ilvl w:val="0"/>
          <w:numId w:val="8"/>
        </w:numPr>
        <w:spacing w:before="120" w:after="120" w:line="260" w:lineRule="auto"/>
        <w:ind w:right="210"/>
        <w:rPr>
          <w:rFonts w:ascii="Times New Roman" w:eastAsia="宋体" w:hAnsi="Times New Roman"/>
          <w:b/>
          <w:bCs/>
          <w:sz w:val="22"/>
          <w:szCs w:val="22"/>
        </w:rPr>
      </w:pPr>
      <w:r>
        <w:rPr>
          <w:rFonts w:ascii="Times New Roman" w:eastAsia="宋体" w:hAnsi="Times New Roman"/>
          <w:b/>
          <w:bCs/>
          <w:sz w:val="22"/>
          <w:szCs w:val="22"/>
        </w:rPr>
        <w:t>29-3 PDCCH monitoring adaptation</w:t>
      </w:r>
    </w:p>
    <w:p w:rsidR="005940DB" w:rsidRDefault="00087BA2">
      <w:pPr>
        <w:spacing w:before="120" w:after="120"/>
      </w:pPr>
      <w:r>
        <w:t>In RAN1-#106e meeting, the common design of PDCCH ski</w:t>
      </w:r>
      <w:r>
        <w:t>pping and SSSG switching was agreed. To enable the flexible implementation at both gNB and UE side, separate UE capability signaling for PDCCH skipping and SSSG switching should be supported. In RAN1#106bis, the following two options were discussed. The di</w:t>
      </w:r>
      <w:r>
        <w:t xml:space="preserve">screpancy is whether supporting both PDCCH skipping and </w:t>
      </w:r>
      <w:r w:rsidR="007C5F99">
        <w:t>SSSG</w:t>
      </w:r>
      <w:r>
        <w:t xml:space="preserve"> switching needs to </w:t>
      </w:r>
      <w:r w:rsidR="007C5F99">
        <w:t>be signaled</w:t>
      </w:r>
      <w:r>
        <w:t xml:space="preserve"> to network, </w:t>
      </w:r>
    </w:p>
    <w:tbl>
      <w:tblPr>
        <w:tblStyle w:val="ac"/>
        <w:tblW w:w="0" w:type="auto"/>
        <w:tblLook w:val="04A0" w:firstRow="1" w:lastRow="0" w:firstColumn="1" w:lastColumn="0" w:noHBand="0" w:noVBand="1"/>
      </w:tblPr>
      <w:tblGrid>
        <w:gridCol w:w="9876"/>
      </w:tblGrid>
      <w:tr w:rsidR="005940DB">
        <w:tc>
          <w:tcPr>
            <w:tcW w:w="9876" w:type="dxa"/>
          </w:tcPr>
          <w:p w:rsidR="005940DB" w:rsidRDefault="00087BA2">
            <w:pPr>
              <w:pStyle w:val="13"/>
              <w:numPr>
                <w:ilvl w:val="0"/>
                <w:numId w:val="11"/>
              </w:numPr>
              <w:spacing w:before="120" w:afterLines="50" w:after="120" w:afterAutospacing="0"/>
              <w:ind w:leftChars="0"/>
              <w:jc w:val="both"/>
              <w:rPr>
                <w:bCs/>
                <w:sz w:val="21"/>
                <w:szCs w:val="21"/>
              </w:rPr>
            </w:pPr>
            <w:r>
              <w:rPr>
                <w:rFonts w:hint="eastAsia"/>
                <w:bCs/>
                <w:sz w:val="21"/>
                <w:szCs w:val="21"/>
              </w:rPr>
              <w:t>C</w:t>
            </w:r>
            <w:r>
              <w:rPr>
                <w:bCs/>
                <w:sz w:val="21"/>
                <w:szCs w:val="21"/>
              </w:rPr>
              <w:t>ompanies are encouraged to provide views on whether/how to separate the capabilities of FG 29-3, e.g.,</w:t>
            </w:r>
          </w:p>
          <w:p w:rsidR="005940DB" w:rsidRDefault="00087BA2">
            <w:pPr>
              <w:pStyle w:val="13"/>
              <w:numPr>
                <w:ilvl w:val="1"/>
                <w:numId w:val="11"/>
              </w:numPr>
              <w:spacing w:before="120" w:afterLines="50" w:after="120" w:afterAutospacing="0"/>
              <w:ind w:leftChars="0"/>
              <w:jc w:val="both"/>
              <w:rPr>
                <w:bCs/>
                <w:sz w:val="21"/>
                <w:szCs w:val="21"/>
              </w:rPr>
            </w:pPr>
            <w:r>
              <w:rPr>
                <w:bCs/>
                <w:sz w:val="21"/>
                <w:szCs w:val="21"/>
              </w:rPr>
              <w:t xml:space="preserve">Option 1: </w:t>
            </w:r>
          </w:p>
          <w:p w:rsidR="005940DB" w:rsidRDefault="00087BA2">
            <w:pPr>
              <w:pStyle w:val="13"/>
              <w:numPr>
                <w:ilvl w:val="2"/>
                <w:numId w:val="11"/>
              </w:numPr>
              <w:spacing w:before="120" w:afterLines="50" w:after="120" w:afterAutospacing="0"/>
              <w:ind w:leftChars="0"/>
              <w:jc w:val="both"/>
              <w:rPr>
                <w:bCs/>
                <w:sz w:val="21"/>
                <w:szCs w:val="21"/>
              </w:rPr>
            </w:pPr>
            <w:r>
              <w:rPr>
                <w:bCs/>
                <w:sz w:val="21"/>
                <w:szCs w:val="21"/>
              </w:rPr>
              <w:t>FG 29-3a: Support of PDCCH monitoring</w:t>
            </w:r>
            <w:r>
              <w:rPr>
                <w:bCs/>
                <w:sz w:val="21"/>
                <w:szCs w:val="21"/>
              </w:rPr>
              <w:t xml:space="preserve"> adaptation behaviour 1/1A</w:t>
            </w:r>
          </w:p>
          <w:p w:rsidR="005940DB" w:rsidRDefault="00087BA2">
            <w:pPr>
              <w:pStyle w:val="13"/>
              <w:numPr>
                <w:ilvl w:val="2"/>
                <w:numId w:val="11"/>
              </w:numPr>
              <w:spacing w:before="120" w:afterLines="50" w:after="120" w:afterAutospacing="0"/>
              <w:ind w:leftChars="0"/>
              <w:jc w:val="both"/>
              <w:rPr>
                <w:bCs/>
                <w:sz w:val="21"/>
                <w:szCs w:val="21"/>
              </w:rPr>
            </w:pPr>
            <w:r>
              <w:rPr>
                <w:bCs/>
                <w:sz w:val="21"/>
                <w:szCs w:val="21"/>
              </w:rPr>
              <w:t>FG 29-3b: Support of PDCCH monitoring adaptation behaviour 2/2A</w:t>
            </w:r>
          </w:p>
          <w:p w:rsidR="005940DB" w:rsidRDefault="00087BA2">
            <w:pPr>
              <w:pStyle w:val="13"/>
              <w:numPr>
                <w:ilvl w:val="2"/>
                <w:numId w:val="11"/>
              </w:numPr>
              <w:spacing w:before="120" w:afterLines="50" w:after="120" w:afterAutospacing="0"/>
              <w:ind w:leftChars="0"/>
              <w:jc w:val="both"/>
              <w:rPr>
                <w:bCs/>
                <w:sz w:val="21"/>
                <w:szCs w:val="21"/>
              </w:rPr>
            </w:pPr>
            <w:r>
              <w:rPr>
                <w:bCs/>
                <w:sz w:val="21"/>
                <w:szCs w:val="21"/>
              </w:rPr>
              <w:t>FG 29-3c: Support of PDCCH monitoring adaptation behaviour [2B]</w:t>
            </w:r>
          </w:p>
          <w:p w:rsidR="005940DB" w:rsidRDefault="00087BA2">
            <w:pPr>
              <w:pStyle w:val="13"/>
              <w:numPr>
                <w:ilvl w:val="2"/>
                <w:numId w:val="11"/>
              </w:numPr>
              <w:spacing w:before="120" w:afterLines="50" w:after="120" w:afterAutospacing="0"/>
              <w:ind w:leftChars="0"/>
              <w:jc w:val="both"/>
              <w:rPr>
                <w:bCs/>
                <w:sz w:val="21"/>
                <w:szCs w:val="21"/>
              </w:rPr>
            </w:pPr>
            <w:r>
              <w:rPr>
                <w:bCs/>
                <w:sz w:val="21"/>
                <w:szCs w:val="21"/>
              </w:rPr>
              <w:t>FG 29-3d: Support of PDCCH monitoring adaptation behaviour 1/1A/2/2A</w:t>
            </w:r>
          </w:p>
          <w:p w:rsidR="005940DB" w:rsidRDefault="00087BA2">
            <w:pPr>
              <w:pStyle w:val="13"/>
              <w:numPr>
                <w:ilvl w:val="1"/>
                <w:numId w:val="11"/>
              </w:numPr>
              <w:spacing w:before="120" w:afterLines="50" w:after="120" w:afterAutospacing="0"/>
              <w:ind w:leftChars="0"/>
              <w:jc w:val="both"/>
              <w:rPr>
                <w:bCs/>
                <w:sz w:val="21"/>
                <w:szCs w:val="21"/>
              </w:rPr>
            </w:pPr>
            <w:r>
              <w:rPr>
                <w:bCs/>
                <w:sz w:val="21"/>
                <w:szCs w:val="21"/>
              </w:rPr>
              <w:t>Option 2</w:t>
            </w:r>
          </w:p>
          <w:p w:rsidR="005940DB" w:rsidRDefault="00087BA2">
            <w:pPr>
              <w:pStyle w:val="13"/>
              <w:numPr>
                <w:ilvl w:val="2"/>
                <w:numId w:val="11"/>
              </w:numPr>
              <w:spacing w:before="120" w:afterLines="50" w:after="120" w:afterAutospacing="0"/>
              <w:ind w:leftChars="0"/>
              <w:jc w:val="both"/>
              <w:rPr>
                <w:bCs/>
                <w:sz w:val="21"/>
                <w:szCs w:val="21"/>
              </w:rPr>
            </w:pPr>
            <w:r>
              <w:rPr>
                <w:bCs/>
                <w:sz w:val="21"/>
                <w:szCs w:val="21"/>
              </w:rPr>
              <w:t>FG 29-3a: Support of PD</w:t>
            </w:r>
            <w:r>
              <w:rPr>
                <w:bCs/>
                <w:sz w:val="21"/>
                <w:szCs w:val="21"/>
              </w:rPr>
              <w:t>CCH monitoring adaptation behaviour 1/1A</w:t>
            </w:r>
          </w:p>
          <w:p w:rsidR="005940DB" w:rsidRDefault="00087BA2">
            <w:pPr>
              <w:pStyle w:val="13"/>
              <w:numPr>
                <w:ilvl w:val="2"/>
                <w:numId w:val="11"/>
              </w:numPr>
              <w:spacing w:before="120" w:afterLines="50" w:after="120" w:afterAutospacing="0"/>
              <w:ind w:leftChars="0"/>
              <w:jc w:val="both"/>
              <w:rPr>
                <w:bCs/>
                <w:sz w:val="21"/>
                <w:szCs w:val="21"/>
              </w:rPr>
            </w:pPr>
            <w:r>
              <w:rPr>
                <w:bCs/>
                <w:sz w:val="21"/>
                <w:szCs w:val="21"/>
              </w:rPr>
              <w:t>FG 29-3b: Support of PDCCH monitoring adaptation behaviour 2/2A</w:t>
            </w:r>
          </w:p>
          <w:p w:rsidR="005940DB" w:rsidRDefault="00087BA2">
            <w:pPr>
              <w:pStyle w:val="13"/>
              <w:numPr>
                <w:ilvl w:val="2"/>
                <w:numId w:val="11"/>
              </w:numPr>
              <w:spacing w:before="120" w:afterLines="50" w:after="120" w:afterAutospacing="0"/>
              <w:ind w:leftChars="0"/>
              <w:jc w:val="both"/>
              <w:rPr>
                <w:bCs/>
                <w:sz w:val="21"/>
                <w:szCs w:val="21"/>
              </w:rPr>
            </w:pPr>
            <w:r>
              <w:rPr>
                <w:bCs/>
                <w:sz w:val="21"/>
                <w:szCs w:val="21"/>
              </w:rPr>
              <w:t>FG 29-3c: Support of PDCCH monitoring adaptation behaviour 2/2A/[2B]</w:t>
            </w:r>
          </w:p>
        </w:tc>
      </w:tr>
    </w:tbl>
    <w:p w:rsidR="005940DB" w:rsidRDefault="00087BA2">
      <w:pPr>
        <w:spacing w:before="120" w:after="120"/>
      </w:pPr>
      <w:r>
        <w:t xml:space="preserve">According to our understanding, with option 2, it will be clear that UE supports </w:t>
      </w:r>
      <w:r>
        <w:t xml:space="preserve">both PDCCH skipping and SSSG switching if UE provides positive indications regarding FG 29-3a and 29- 3b/c. The detailed implementation of the common framework of PDCCH adaptation </w:t>
      </w:r>
      <w:r w:rsidR="007C5F99">
        <w:t>are</w:t>
      </w:r>
      <w:r>
        <w:t xml:space="preserve"> </w:t>
      </w:r>
      <w:r>
        <w:t>further depended on higher layer configurations and DCI codepoint map</w:t>
      </w:r>
      <w:r>
        <w:t xml:space="preserve">ping. </w:t>
      </w:r>
    </w:p>
    <w:p w:rsidR="005940DB" w:rsidRDefault="00087BA2">
      <w:pPr>
        <w:spacing w:before="120" w:after="120"/>
      </w:pPr>
      <w:r>
        <w:t xml:space="preserve">However, with option 1, the implication of supporting FG 29-3d should be clarified. For example, it should be clarified that whether UE supports to be configured with only PDCCH skipping or </w:t>
      </w:r>
      <w:r w:rsidR="007C5F99">
        <w:t xml:space="preserve">SSSG </w:t>
      </w:r>
      <w:r>
        <w:t xml:space="preserve">switching if the </w:t>
      </w:r>
      <w:r>
        <w:lastRenderedPageBreak/>
        <w:t xml:space="preserve">indication of FG 29-3d is positive. </w:t>
      </w:r>
      <w:r>
        <w:t xml:space="preserve">One of the solution to preclude the ambiguity is that the perquisite of FG 29-3d should be FG 29-3a and FG 29-3b, which will be more complicated. </w:t>
      </w:r>
    </w:p>
    <w:p w:rsidR="005940DB" w:rsidRDefault="00087BA2">
      <w:pPr>
        <w:spacing w:before="120" w:after="120"/>
      </w:pPr>
      <w:r>
        <w:t xml:space="preserve">Furthermore, for the sake of readability and simplification, we think it is better to translate the behavior </w:t>
      </w:r>
      <w:r>
        <w:t>1/1A/2/2A/2B into PDCCH skipping or the number of supported search space set groups. Otherwise, we need to explain the interpretation of behavior 1/1A/2/2A/2B to align the understanding.</w:t>
      </w:r>
    </w:p>
    <w:p w:rsidR="005940DB" w:rsidRDefault="00087BA2">
      <w:pPr>
        <w:pStyle w:val="YJ-Proposal"/>
        <w:spacing w:before="120" w:after="120"/>
        <w:rPr>
          <w:rFonts w:eastAsia="宋体"/>
        </w:rPr>
      </w:pPr>
      <w:bookmarkStart w:id="8" w:name="_Toc86954370"/>
      <w:r>
        <w:rPr>
          <w:i w:val="0"/>
        </w:rPr>
        <w:t>As to feature g</w:t>
      </w:r>
      <w:r>
        <w:rPr>
          <w:i w:val="0"/>
        </w:rPr>
        <w:t>roup 29-3, the following is suggested.</w:t>
      </w:r>
      <w:bookmarkEnd w:id="8"/>
    </w:p>
    <w:p w:rsidR="005940DB" w:rsidRDefault="00087BA2">
      <w:pPr>
        <w:pStyle w:val="YJ-Proposal"/>
        <w:numPr>
          <w:ilvl w:val="0"/>
          <w:numId w:val="9"/>
        </w:numPr>
        <w:spacing w:before="120" w:after="120"/>
        <w:jc w:val="both"/>
        <w:rPr>
          <w:rFonts w:eastAsia="宋体"/>
          <w:i w:val="0"/>
        </w:rPr>
      </w:pPr>
      <w:bookmarkStart w:id="9" w:name="_Toc86954371"/>
      <w:r>
        <w:rPr>
          <w:rFonts w:eastAsia="宋体"/>
          <w:i w:val="0"/>
        </w:rPr>
        <w:t>FG 29-3a: Support of PDCCH skipping</w:t>
      </w:r>
      <w:bookmarkEnd w:id="9"/>
    </w:p>
    <w:p w:rsidR="005940DB" w:rsidRDefault="00087BA2">
      <w:pPr>
        <w:pStyle w:val="YJ-Proposal"/>
        <w:numPr>
          <w:ilvl w:val="0"/>
          <w:numId w:val="9"/>
        </w:numPr>
        <w:spacing w:before="120" w:after="120"/>
        <w:jc w:val="both"/>
        <w:rPr>
          <w:rFonts w:eastAsia="宋体"/>
          <w:i w:val="0"/>
        </w:rPr>
      </w:pPr>
      <w:bookmarkStart w:id="10" w:name="_Toc86954372"/>
      <w:r>
        <w:rPr>
          <w:rFonts w:eastAsia="宋体"/>
          <w:i w:val="0"/>
        </w:rPr>
        <w:t>FG 29-3b: Support of two search space set groups</w:t>
      </w:r>
      <w:bookmarkEnd w:id="10"/>
      <w:r>
        <w:rPr>
          <w:rFonts w:eastAsia="宋体"/>
          <w:i w:val="0"/>
        </w:rPr>
        <w:t xml:space="preserve"> </w:t>
      </w:r>
    </w:p>
    <w:p w:rsidR="005940DB" w:rsidRDefault="00087BA2">
      <w:pPr>
        <w:pStyle w:val="YJ-Proposal"/>
        <w:numPr>
          <w:ilvl w:val="0"/>
          <w:numId w:val="9"/>
        </w:numPr>
        <w:spacing w:before="120" w:after="120"/>
        <w:jc w:val="both"/>
        <w:rPr>
          <w:rFonts w:eastAsia="宋体"/>
          <w:i w:val="0"/>
        </w:rPr>
      </w:pPr>
      <w:bookmarkStart w:id="11" w:name="_Toc86954373"/>
      <w:r>
        <w:rPr>
          <w:rFonts w:eastAsia="宋体"/>
          <w:i w:val="0"/>
        </w:rPr>
        <w:t>FG 29-3c: Support of three search space set groups</w:t>
      </w:r>
      <w:bookmarkEnd w:id="11"/>
    </w:p>
    <w:p w:rsidR="005940DB" w:rsidRDefault="00087BA2">
      <w:pPr>
        <w:pStyle w:val="YJ-Proposal"/>
        <w:numPr>
          <w:ilvl w:val="0"/>
          <w:numId w:val="9"/>
        </w:numPr>
        <w:spacing w:before="120" w:after="120"/>
        <w:jc w:val="both"/>
        <w:rPr>
          <w:rFonts w:eastAsia="宋体"/>
          <w:i w:val="0"/>
        </w:rPr>
      </w:pPr>
      <w:bookmarkStart w:id="12" w:name="_Toc86954374"/>
      <w:r>
        <w:rPr>
          <w:rFonts w:eastAsia="宋体"/>
          <w:i w:val="0"/>
        </w:rPr>
        <w:t>The capability type is per UE</w:t>
      </w:r>
      <w:bookmarkEnd w:id="12"/>
    </w:p>
    <w:p w:rsidR="005940DB" w:rsidRDefault="00087BA2">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5940DB" w:rsidRDefault="00087BA2">
      <w:pPr>
        <w:spacing w:before="120" w:after="120"/>
        <w:rPr>
          <w:szCs w:val="22"/>
        </w:rPr>
      </w:pPr>
      <w:r>
        <w:rPr>
          <w:rFonts w:hint="eastAsia"/>
        </w:rPr>
        <w:t xml:space="preserve">In this contribution, we discuss the </w:t>
      </w:r>
      <w:r>
        <w:t xml:space="preserve">UE features for </w:t>
      </w:r>
      <w:r>
        <w:rPr>
          <w:rFonts w:hint="eastAsia"/>
        </w:rPr>
        <w:t>power saving enhancement</w:t>
      </w:r>
      <w:r>
        <w:t>s</w:t>
      </w:r>
      <w:r>
        <w:rPr>
          <w:rFonts w:hint="eastAsia"/>
        </w:rPr>
        <w:t>. We have the following proposals.</w:t>
      </w:r>
    </w:p>
    <w:p w:rsidR="005940DB" w:rsidRDefault="00087BA2">
      <w:pPr>
        <w:pStyle w:val="10"/>
        <w:jc w:val="both"/>
        <w:rPr>
          <w:rFonts w:asciiTheme="minorHAnsi" w:hAnsiTheme="minorHAnsi" w:cstheme="minorBidi"/>
          <w:b w:val="0"/>
          <w:bCs w:val="0"/>
          <w:kern w:val="0"/>
          <w:sz w:val="22"/>
          <w:szCs w:val="22"/>
        </w:rPr>
      </w:pPr>
      <w:r>
        <w:rPr>
          <w:i/>
          <w:iCs/>
        </w:rPr>
        <w:fldChar w:fldCharType="begin"/>
      </w:r>
      <w:r>
        <w:instrText>TOC \n  \t "YJ-Proposal,1,sub-proposal,2,3rd level proposal,3" \h</w:instrText>
      </w:r>
      <w:r>
        <w:rPr>
          <w:i/>
          <w:iCs/>
        </w:rPr>
        <w:fldChar w:fldCharType="separate"/>
      </w:r>
      <w:hyperlink w:anchor="_Toc86954363" w:history="1">
        <w:r>
          <w:rPr>
            <w:rStyle w:val="af"/>
            <w:rFonts w:eastAsia="宋体"/>
          </w:rPr>
          <w:t>Proposal 1:</w:t>
        </w:r>
        <w:r>
          <w:rPr>
            <w:rFonts w:asciiTheme="minorHAnsi" w:hAnsiTheme="minorHAnsi" w:cstheme="minorBidi"/>
            <w:b w:val="0"/>
            <w:bCs w:val="0"/>
            <w:kern w:val="0"/>
            <w:sz w:val="22"/>
            <w:szCs w:val="22"/>
          </w:rPr>
          <w:tab/>
        </w:r>
        <w:r>
          <w:rPr>
            <w:rStyle w:val="af"/>
          </w:rPr>
          <w:t>As to feature group 29-1, the following is suggested.</w:t>
        </w:r>
      </w:hyperlink>
    </w:p>
    <w:p w:rsidR="005940DB" w:rsidRDefault="00087BA2">
      <w:pPr>
        <w:pStyle w:val="10"/>
        <w:ind w:left="567"/>
        <w:jc w:val="both"/>
        <w:rPr>
          <w:rFonts w:asciiTheme="minorHAnsi" w:hAnsiTheme="minorHAnsi" w:cstheme="minorBidi"/>
          <w:b w:val="0"/>
          <w:bCs w:val="0"/>
          <w:kern w:val="0"/>
          <w:sz w:val="22"/>
          <w:szCs w:val="22"/>
        </w:rPr>
      </w:pPr>
      <w:hyperlink w:anchor="_Toc86954364" w:history="1">
        <w:r>
          <w:rPr>
            <w:rStyle w:val="af"/>
            <w:rFonts w:ascii="Wingdings" w:hAnsi="Wingdings"/>
          </w:rPr>
          <w:t></w:t>
        </w:r>
        <w:r>
          <w:rPr>
            <w:rFonts w:asciiTheme="minorHAnsi" w:hAnsiTheme="minorHAnsi" w:cstheme="minorBidi"/>
            <w:b w:val="0"/>
            <w:bCs w:val="0"/>
            <w:kern w:val="0"/>
            <w:sz w:val="22"/>
            <w:szCs w:val="22"/>
          </w:rPr>
          <w:t xml:space="preserve"> </w:t>
        </w:r>
        <w:r>
          <w:rPr>
            <w:rStyle w:val="af"/>
          </w:rPr>
          <w:t>It should be decided by RAN2 whether UE sub-grouping is a separate feature and whether FG 29-1 needs capability signalling</w:t>
        </w:r>
      </w:hyperlink>
    </w:p>
    <w:p w:rsidR="005940DB" w:rsidRDefault="00087BA2">
      <w:pPr>
        <w:pStyle w:val="10"/>
        <w:ind w:left="567"/>
        <w:jc w:val="both"/>
        <w:rPr>
          <w:rFonts w:asciiTheme="minorHAnsi" w:hAnsiTheme="minorHAnsi" w:cstheme="minorBidi"/>
          <w:b w:val="0"/>
          <w:bCs w:val="0"/>
          <w:kern w:val="0"/>
          <w:sz w:val="22"/>
          <w:szCs w:val="22"/>
        </w:rPr>
      </w:pPr>
      <w:hyperlink w:anchor="_Toc86954365" w:history="1">
        <w:r>
          <w:rPr>
            <w:rStyle w:val="af"/>
            <w:rFonts w:ascii="Wingdings" w:eastAsia="宋体" w:hAnsi="Wingdings"/>
          </w:rPr>
          <w:t></w:t>
        </w:r>
        <w:r>
          <w:rPr>
            <w:rFonts w:asciiTheme="minorHAnsi" w:hAnsiTheme="minorHAnsi" w:cstheme="minorBidi"/>
            <w:b w:val="0"/>
            <w:bCs w:val="0"/>
            <w:kern w:val="0"/>
            <w:sz w:val="22"/>
            <w:szCs w:val="22"/>
          </w:rPr>
          <w:t xml:space="preserve"> </w:t>
        </w:r>
        <w:r>
          <w:rPr>
            <w:rStyle w:val="af"/>
            <w:rFonts w:eastAsia="宋体"/>
          </w:rPr>
          <w:t>The capability type is per UE</w:t>
        </w:r>
      </w:hyperlink>
    </w:p>
    <w:p w:rsidR="005940DB" w:rsidRDefault="00087BA2">
      <w:pPr>
        <w:pStyle w:val="10"/>
        <w:ind w:left="567"/>
        <w:jc w:val="both"/>
        <w:rPr>
          <w:rFonts w:asciiTheme="minorHAnsi" w:hAnsiTheme="minorHAnsi" w:cstheme="minorBidi"/>
          <w:b w:val="0"/>
          <w:bCs w:val="0"/>
          <w:kern w:val="0"/>
          <w:sz w:val="22"/>
          <w:szCs w:val="22"/>
        </w:rPr>
      </w:pPr>
      <w:hyperlink w:anchor="_Toc86954366" w:history="1">
        <w:r>
          <w:rPr>
            <w:rStyle w:val="af"/>
            <w:rFonts w:ascii="Wingdings" w:eastAsia="宋体" w:hAnsi="Wingdings"/>
          </w:rPr>
          <w:t></w:t>
        </w:r>
        <w:r>
          <w:rPr>
            <w:rFonts w:asciiTheme="minorHAnsi" w:hAnsiTheme="minorHAnsi" w:cstheme="minorBidi"/>
            <w:b w:val="0"/>
            <w:bCs w:val="0"/>
            <w:kern w:val="0"/>
            <w:sz w:val="22"/>
            <w:szCs w:val="22"/>
          </w:rPr>
          <w:t xml:space="preserve"> </w:t>
        </w:r>
        <w:r>
          <w:rPr>
            <w:rStyle w:val="af"/>
            <w:rFonts w:eastAsia="宋体"/>
          </w:rPr>
          <w:t>Update the conseque</w:t>
        </w:r>
        <w:r>
          <w:rPr>
            <w:rStyle w:val="af"/>
            <w:rFonts w:eastAsia="宋体"/>
          </w:rPr>
          <w:t>nce as “</w:t>
        </w:r>
        <w:r>
          <w:rPr>
            <w:rStyle w:val="af"/>
          </w:rPr>
          <w:t>UE doesn’t support paging early indication or paging sub-grouping</w:t>
        </w:r>
        <w:r>
          <w:rPr>
            <w:rStyle w:val="af"/>
            <w:rFonts w:eastAsia="宋体"/>
          </w:rPr>
          <w:t>”</w:t>
        </w:r>
      </w:hyperlink>
    </w:p>
    <w:p w:rsidR="005940DB" w:rsidRDefault="00087BA2">
      <w:pPr>
        <w:pStyle w:val="10"/>
        <w:jc w:val="both"/>
        <w:rPr>
          <w:rFonts w:asciiTheme="minorHAnsi" w:hAnsiTheme="minorHAnsi" w:cstheme="minorBidi"/>
          <w:b w:val="0"/>
          <w:bCs w:val="0"/>
          <w:kern w:val="0"/>
          <w:sz w:val="22"/>
          <w:szCs w:val="22"/>
        </w:rPr>
      </w:pPr>
      <w:hyperlink w:anchor="_Toc86954367" w:history="1">
        <w:r>
          <w:rPr>
            <w:rStyle w:val="af"/>
            <w:rFonts w:eastAsia="宋体"/>
          </w:rPr>
          <w:t>Proposal 2:</w:t>
        </w:r>
        <w:r>
          <w:rPr>
            <w:rFonts w:asciiTheme="minorHAnsi" w:hAnsiTheme="minorHAnsi" w:cstheme="minorBidi"/>
            <w:b w:val="0"/>
            <w:bCs w:val="0"/>
            <w:kern w:val="0"/>
            <w:sz w:val="22"/>
            <w:szCs w:val="22"/>
          </w:rPr>
          <w:tab/>
        </w:r>
        <w:r>
          <w:rPr>
            <w:rStyle w:val="af"/>
          </w:rPr>
          <w:t>As to feature group 29-2, the following is suggested.</w:t>
        </w:r>
      </w:hyperlink>
    </w:p>
    <w:p w:rsidR="005940DB" w:rsidRDefault="00087BA2">
      <w:pPr>
        <w:pStyle w:val="10"/>
        <w:ind w:left="567"/>
        <w:jc w:val="both"/>
        <w:rPr>
          <w:rFonts w:asciiTheme="minorHAnsi" w:hAnsiTheme="minorHAnsi" w:cstheme="minorBidi"/>
          <w:b w:val="0"/>
          <w:bCs w:val="0"/>
          <w:kern w:val="0"/>
          <w:sz w:val="22"/>
          <w:szCs w:val="22"/>
        </w:rPr>
      </w:pPr>
      <w:hyperlink w:anchor="_Toc86954368" w:history="1">
        <w:r>
          <w:rPr>
            <w:rStyle w:val="af"/>
            <w:rFonts w:ascii="Wingdings" w:eastAsia="宋体" w:hAnsi="Wingdings"/>
          </w:rPr>
          <w:t></w:t>
        </w:r>
        <w:r>
          <w:rPr>
            <w:rFonts w:asciiTheme="minorHAnsi" w:hAnsiTheme="minorHAnsi" w:cstheme="minorBidi"/>
            <w:b w:val="0"/>
            <w:bCs w:val="0"/>
            <w:kern w:val="0"/>
            <w:sz w:val="22"/>
            <w:szCs w:val="22"/>
          </w:rPr>
          <w:t xml:space="preserve"> </w:t>
        </w:r>
        <w:r>
          <w:rPr>
            <w:rStyle w:val="af"/>
            <w:rFonts w:eastAsia="宋体"/>
          </w:rPr>
          <w:t xml:space="preserve">Receiving the L1 signaling with TRS availability </w:t>
        </w:r>
        <w:r>
          <w:rPr>
            <w:rStyle w:val="af"/>
            <w:rFonts w:eastAsia="宋体"/>
          </w:rPr>
          <w:t>information should not be separated from FG 29-2.</w:t>
        </w:r>
      </w:hyperlink>
    </w:p>
    <w:p w:rsidR="005940DB" w:rsidRDefault="00087BA2">
      <w:pPr>
        <w:pStyle w:val="10"/>
        <w:ind w:left="567"/>
        <w:jc w:val="both"/>
        <w:rPr>
          <w:rFonts w:asciiTheme="minorHAnsi" w:hAnsiTheme="minorHAnsi" w:cstheme="minorBidi"/>
          <w:b w:val="0"/>
          <w:bCs w:val="0"/>
          <w:kern w:val="0"/>
          <w:sz w:val="22"/>
          <w:szCs w:val="22"/>
        </w:rPr>
      </w:pPr>
      <w:hyperlink w:anchor="_Toc86954369" w:history="1">
        <w:r>
          <w:rPr>
            <w:rStyle w:val="af"/>
            <w:rFonts w:ascii="Wingdings" w:eastAsia="宋体" w:hAnsi="Wingdings"/>
          </w:rPr>
          <w:t></w:t>
        </w:r>
        <w:r>
          <w:rPr>
            <w:rFonts w:asciiTheme="minorHAnsi" w:hAnsiTheme="minorHAnsi" w:cstheme="minorBidi"/>
            <w:b w:val="0"/>
            <w:bCs w:val="0"/>
            <w:kern w:val="0"/>
            <w:sz w:val="22"/>
            <w:szCs w:val="22"/>
          </w:rPr>
          <w:t xml:space="preserve"> </w:t>
        </w:r>
        <w:r>
          <w:rPr>
            <w:rStyle w:val="af"/>
            <w:rFonts w:eastAsia="宋体"/>
          </w:rPr>
          <w:t>The capability type is per UE</w:t>
        </w:r>
      </w:hyperlink>
    </w:p>
    <w:p w:rsidR="005940DB" w:rsidRDefault="00087BA2">
      <w:pPr>
        <w:pStyle w:val="10"/>
        <w:jc w:val="both"/>
        <w:rPr>
          <w:rFonts w:asciiTheme="minorHAnsi" w:hAnsiTheme="minorHAnsi" w:cstheme="minorBidi"/>
          <w:b w:val="0"/>
          <w:bCs w:val="0"/>
          <w:kern w:val="0"/>
          <w:sz w:val="22"/>
          <w:szCs w:val="22"/>
        </w:rPr>
      </w:pPr>
      <w:hyperlink w:anchor="_Toc86954370" w:history="1">
        <w:r>
          <w:rPr>
            <w:rStyle w:val="af"/>
            <w:rFonts w:eastAsia="宋体"/>
          </w:rPr>
          <w:t>Proposal 3:</w:t>
        </w:r>
        <w:r>
          <w:rPr>
            <w:rFonts w:asciiTheme="minorHAnsi" w:hAnsiTheme="minorHAnsi" w:cstheme="minorBidi"/>
            <w:b w:val="0"/>
            <w:bCs w:val="0"/>
            <w:kern w:val="0"/>
            <w:sz w:val="22"/>
            <w:szCs w:val="22"/>
          </w:rPr>
          <w:tab/>
        </w:r>
        <w:r>
          <w:rPr>
            <w:rStyle w:val="af"/>
          </w:rPr>
          <w:t>As to feature group 29-3, the following is suggested.</w:t>
        </w:r>
      </w:hyperlink>
    </w:p>
    <w:p w:rsidR="005940DB" w:rsidRDefault="00087BA2">
      <w:pPr>
        <w:pStyle w:val="10"/>
        <w:ind w:left="567"/>
        <w:jc w:val="both"/>
        <w:rPr>
          <w:rFonts w:asciiTheme="minorHAnsi" w:hAnsiTheme="minorHAnsi" w:cstheme="minorBidi"/>
          <w:b w:val="0"/>
          <w:bCs w:val="0"/>
          <w:kern w:val="0"/>
          <w:sz w:val="22"/>
          <w:szCs w:val="22"/>
        </w:rPr>
      </w:pPr>
      <w:hyperlink w:anchor="_Toc86954371" w:history="1">
        <w:r>
          <w:rPr>
            <w:rStyle w:val="af"/>
            <w:rFonts w:ascii="Wingdings" w:eastAsia="宋体" w:hAnsi="Wingdings"/>
          </w:rPr>
          <w:t></w:t>
        </w:r>
        <w:r>
          <w:rPr>
            <w:rFonts w:asciiTheme="minorHAnsi" w:hAnsiTheme="minorHAnsi" w:cstheme="minorBidi"/>
            <w:b w:val="0"/>
            <w:bCs w:val="0"/>
            <w:kern w:val="0"/>
            <w:sz w:val="22"/>
            <w:szCs w:val="22"/>
          </w:rPr>
          <w:t xml:space="preserve"> </w:t>
        </w:r>
        <w:r>
          <w:rPr>
            <w:rStyle w:val="af"/>
            <w:rFonts w:eastAsia="宋体"/>
          </w:rPr>
          <w:t xml:space="preserve">FG 29-3a: </w:t>
        </w:r>
        <w:r>
          <w:rPr>
            <w:rStyle w:val="af"/>
            <w:rFonts w:eastAsia="宋体"/>
          </w:rPr>
          <w:t>Support of PDCCH skipping</w:t>
        </w:r>
      </w:hyperlink>
    </w:p>
    <w:p w:rsidR="005940DB" w:rsidRDefault="00087BA2">
      <w:pPr>
        <w:pStyle w:val="10"/>
        <w:ind w:left="567"/>
        <w:jc w:val="both"/>
        <w:rPr>
          <w:rFonts w:asciiTheme="minorHAnsi" w:hAnsiTheme="minorHAnsi" w:cstheme="minorBidi"/>
          <w:b w:val="0"/>
          <w:bCs w:val="0"/>
          <w:kern w:val="0"/>
          <w:sz w:val="22"/>
          <w:szCs w:val="22"/>
        </w:rPr>
      </w:pPr>
      <w:hyperlink w:anchor="_Toc86954372" w:history="1">
        <w:r>
          <w:rPr>
            <w:rStyle w:val="af"/>
            <w:rFonts w:ascii="Wingdings" w:eastAsia="宋体" w:hAnsi="Wingdings"/>
          </w:rPr>
          <w:t></w:t>
        </w:r>
        <w:r>
          <w:rPr>
            <w:rFonts w:asciiTheme="minorHAnsi" w:hAnsiTheme="minorHAnsi" w:cstheme="minorBidi"/>
            <w:b w:val="0"/>
            <w:bCs w:val="0"/>
            <w:kern w:val="0"/>
            <w:sz w:val="22"/>
            <w:szCs w:val="22"/>
          </w:rPr>
          <w:t xml:space="preserve"> </w:t>
        </w:r>
        <w:r>
          <w:rPr>
            <w:rStyle w:val="af"/>
            <w:rFonts w:eastAsia="宋体"/>
          </w:rPr>
          <w:t>FG 29-3b: Support of two search space set groups</w:t>
        </w:r>
      </w:hyperlink>
    </w:p>
    <w:p w:rsidR="005940DB" w:rsidRDefault="00087BA2">
      <w:pPr>
        <w:pStyle w:val="10"/>
        <w:ind w:left="567"/>
        <w:jc w:val="both"/>
        <w:rPr>
          <w:rFonts w:asciiTheme="minorHAnsi" w:hAnsiTheme="minorHAnsi" w:cstheme="minorBidi"/>
          <w:b w:val="0"/>
          <w:bCs w:val="0"/>
          <w:kern w:val="0"/>
          <w:sz w:val="22"/>
          <w:szCs w:val="22"/>
        </w:rPr>
      </w:pPr>
      <w:hyperlink w:anchor="_Toc86954373" w:history="1">
        <w:r>
          <w:rPr>
            <w:rStyle w:val="af"/>
            <w:rFonts w:ascii="Wingdings" w:eastAsia="宋体" w:hAnsi="Wingdings"/>
          </w:rPr>
          <w:t></w:t>
        </w:r>
        <w:r>
          <w:rPr>
            <w:rFonts w:asciiTheme="minorHAnsi" w:hAnsiTheme="minorHAnsi" w:cstheme="minorBidi"/>
            <w:b w:val="0"/>
            <w:bCs w:val="0"/>
            <w:kern w:val="0"/>
            <w:sz w:val="22"/>
            <w:szCs w:val="22"/>
          </w:rPr>
          <w:t xml:space="preserve"> </w:t>
        </w:r>
        <w:r>
          <w:rPr>
            <w:rStyle w:val="af"/>
            <w:rFonts w:eastAsia="宋体"/>
          </w:rPr>
          <w:t>FG 29-3c: Support of three search space set groups</w:t>
        </w:r>
      </w:hyperlink>
    </w:p>
    <w:p w:rsidR="005940DB" w:rsidRDefault="00087BA2">
      <w:pPr>
        <w:pStyle w:val="10"/>
        <w:ind w:left="567"/>
        <w:jc w:val="both"/>
        <w:rPr>
          <w:rFonts w:asciiTheme="minorHAnsi" w:hAnsiTheme="minorHAnsi" w:cstheme="minorBidi"/>
          <w:b w:val="0"/>
          <w:bCs w:val="0"/>
          <w:kern w:val="0"/>
          <w:sz w:val="22"/>
          <w:szCs w:val="22"/>
        </w:rPr>
      </w:pPr>
      <w:hyperlink w:anchor="_Toc86954374" w:history="1">
        <w:r>
          <w:rPr>
            <w:rStyle w:val="af"/>
            <w:rFonts w:ascii="Wingdings" w:eastAsia="宋体" w:hAnsi="Wingdings"/>
          </w:rPr>
          <w:t></w:t>
        </w:r>
        <w:r>
          <w:rPr>
            <w:rFonts w:asciiTheme="minorHAnsi" w:hAnsiTheme="minorHAnsi" w:cstheme="minorBidi"/>
            <w:b w:val="0"/>
            <w:bCs w:val="0"/>
            <w:kern w:val="0"/>
            <w:sz w:val="22"/>
            <w:szCs w:val="22"/>
          </w:rPr>
          <w:t xml:space="preserve"> </w:t>
        </w:r>
        <w:r>
          <w:rPr>
            <w:rStyle w:val="af"/>
            <w:rFonts w:eastAsia="宋体"/>
          </w:rPr>
          <w:t>The capability type is per U</w:t>
        </w:r>
        <w:r>
          <w:rPr>
            <w:rStyle w:val="af"/>
            <w:rFonts w:eastAsia="宋体"/>
          </w:rPr>
          <w:t>E</w:t>
        </w:r>
      </w:hyperlink>
    </w:p>
    <w:p w:rsidR="005940DB" w:rsidRDefault="00087BA2">
      <w:pPr>
        <w:spacing w:before="120" w:after="120"/>
      </w:pPr>
      <w:r>
        <w:fldChar w:fldCharType="end"/>
      </w:r>
    </w:p>
    <w:p w:rsidR="005940DB" w:rsidRDefault="00087BA2">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rsidR="005940DB" w:rsidRDefault="00087BA2">
      <w:pPr>
        <w:spacing w:before="120" w:after="120" w:line="260" w:lineRule="auto"/>
        <w:jc w:val="left"/>
        <w:rPr>
          <w:sz w:val="20"/>
        </w:rPr>
      </w:pPr>
      <w:r>
        <w:t>[1]</w:t>
      </w:r>
      <w:r>
        <w:tab/>
        <w:t xml:space="preserve">Draft_Minutes_report_RAN1#106b-e_v020 </w:t>
      </w:r>
    </w:p>
    <w:p w:rsidR="005940DB" w:rsidRDefault="00087BA2">
      <w:pPr>
        <w:spacing w:beforeLines="0" w:before="0" w:afterLines="0" w:after="160"/>
        <w:jc w:val="left"/>
      </w:pPr>
      <w:r>
        <w:br w:type="page"/>
      </w:r>
    </w:p>
    <w:p w:rsidR="005940DB" w:rsidRDefault="005940DB">
      <w:pPr>
        <w:spacing w:beforeLines="0" w:afterLines="0"/>
        <w:jc w:val="left"/>
        <w:sectPr w:rsidR="005940DB">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pPr>
    </w:p>
    <w:p w:rsidR="005940DB" w:rsidRDefault="00087BA2">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lastRenderedPageBreak/>
        <w:t>Appendix</w:t>
      </w:r>
    </w:p>
    <w:p w:rsidR="005940DB" w:rsidRDefault="00087BA2">
      <w:pPr>
        <w:spacing w:before="120" w:after="120"/>
        <w:rPr>
          <w:rFonts w:eastAsia="游ゴシック" w:cs="Times"/>
          <w:b/>
          <w:bCs/>
          <w:kern w:val="0"/>
          <w:sz w:val="24"/>
          <w:highlight w:val="green"/>
        </w:rPr>
      </w:pPr>
      <w:r>
        <w:rPr>
          <w:rFonts w:cs="Times"/>
          <w:b/>
          <w:bCs/>
          <w:highlight w:val="green"/>
        </w:rPr>
        <w:t>Agreement</w:t>
      </w:r>
    </w:p>
    <w:p w:rsidR="005940DB" w:rsidRPr="00C40ABE" w:rsidRDefault="00087BA2">
      <w:pPr>
        <w:spacing w:before="120" w:after="120"/>
        <w:rPr>
          <w:rFonts w:eastAsia="MS Gothic"/>
        </w:rPr>
      </w:pPr>
      <w:r w:rsidRPr="00C40ABE">
        <w:t xml:space="preserve">FG 29-2 is kept as “TRS resources for idle/inactive UEs” as </w:t>
      </w:r>
      <w:r w:rsidRPr="00C40ABE">
        <w:t>follows.</w:t>
      </w:r>
    </w:p>
    <w:tbl>
      <w:tblPr>
        <w:tblW w:w="5000" w:type="pct"/>
        <w:tblCellMar>
          <w:left w:w="0" w:type="dxa"/>
          <w:right w:w="0" w:type="dxa"/>
        </w:tblCellMar>
        <w:tblLook w:val="04A0" w:firstRow="1" w:lastRow="0" w:firstColumn="1" w:lastColumn="0" w:noHBand="0" w:noVBand="1"/>
      </w:tblPr>
      <w:tblGrid>
        <w:gridCol w:w="2201"/>
        <w:gridCol w:w="712"/>
        <w:gridCol w:w="1388"/>
        <w:gridCol w:w="5652"/>
        <w:gridCol w:w="1079"/>
        <w:gridCol w:w="719"/>
        <w:gridCol w:w="702"/>
        <w:gridCol w:w="1590"/>
        <w:gridCol w:w="1096"/>
        <w:gridCol w:w="833"/>
        <w:gridCol w:w="838"/>
        <w:gridCol w:w="833"/>
        <w:gridCol w:w="2327"/>
        <w:gridCol w:w="1180"/>
      </w:tblGrid>
      <w:tr w:rsidR="005940DB" w:rsidRPr="00C40ABE">
        <w:trPr>
          <w:trHeight w:val="20"/>
        </w:trPr>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940DB" w:rsidRPr="00C40ABE" w:rsidRDefault="00087BA2">
            <w:pPr>
              <w:keepNext/>
              <w:spacing w:before="120" w:after="120"/>
              <w:rPr>
                <w:sz w:val="18"/>
                <w:szCs w:val="18"/>
              </w:rPr>
            </w:pPr>
            <w:r w:rsidRPr="00C40ABE">
              <w:rPr>
                <w:sz w:val="18"/>
                <w:szCs w:val="18"/>
              </w:rPr>
              <w:t>29. NR_UE_pow_sav_enh</w:t>
            </w:r>
          </w:p>
        </w:tc>
        <w:tc>
          <w:tcPr>
            <w:tcW w:w="1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40DB" w:rsidRPr="00C40ABE" w:rsidRDefault="00087BA2">
            <w:pPr>
              <w:keepNext/>
              <w:spacing w:before="120" w:after="120"/>
              <w:rPr>
                <w:sz w:val="18"/>
                <w:szCs w:val="18"/>
              </w:rPr>
            </w:pPr>
            <w:r w:rsidRPr="00C40ABE">
              <w:rPr>
                <w:sz w:val="18"/>
                <w:szCs w:val="18"/>
              </w:rPr>
              <w:t>29-2</w:t>
            </w: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40DB" w:rsidRPr="00C40ABE" w:rsidRDefault="00087BA2">
            <w:pPr>
              <w:keepNext/>
              <w:spacing w:before="120" w:after="120"/>
              <w:rPr>
                <w:sz w:val="18"/>
                <w:szCs w:val="18"/>
              </w:rPr>
            </w:pPr>
            <w:r w:rsidRPr="00C40ABE">
              <w:rPr>
                <w:sz w:val="18"/>
                <w:szCs w:val="18"/>
              </w:rPr>
              <w:t>TRS resources for idle/inactive UEs</w:t>
            </w:r>
          </w:p>
        </w:tc>
        <w:tc>
          <w:tcPr>
            <w:tcW w:w="13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5940DB" w:rsidRPr="00C40ABE" w:rsidRDefault="00087BA2">
            <w:pPr>
              <w:autoSpaceDE w:val="0"/>
              <w:autoSpaceDN w:val="0"/>
              <w:snapToGrid w:val="0"/>
              <w:spacing w:before="120" w:after="120"/>
              <w:ind w:left="360" w:hanging="360"/>
              <w:contextualSpacing/>
              <w:rPr>
                <w:sz w:val="18"/>
                <w:szCs w:val="18"/>
              </w:rPr>
            </w:pPr>
            <w:r w:rsidRPr="00C40ABE">
              <w:rPr>
                <w:color w:val="000000"/>
                <w:sz w:val="18"/>
                <w:szCs w:val="18"/>
              </w:rPr>
              <w:t xml:space="preserve">TRS receiving for idle/inactive UEs </w:t>
            </w:r>
          </w:p>
          <w:p w:rsidR="005940DB" w:rsidRPr="00C40ABE" w:rsidRDefault="00087BA2">
            <w:pPr>
              <w:autoSpaceDE w:val="0"/>
              <w:autoSpaceDN w:val="0"/>
              <w:snapToGrid w:val="0"/>
              <w:spacing w:before="120" w:after="120"/>
              <w:ind w:left="360" w:hanging="360"/>
              <w:contextualSpacing/>
              <w:rPr>
                <w:sz w:val="18"/>
                <w:szCs w:val="18"/>
              </w:rPr>
            </w:pPr>
            <w:r w:rsidRPr="00C40ABE">
              <w:rPr>
                <w:color w:val="000000"/>
                <w:sz w:val="18"/>
                <w:szCs w:val="18"/>
              </w:rPr>
              <w:t>1. Support reading TRS configuration from SIB</w:t>
            </w:r>
          </w:p>
          <w:p w:rsidR="005940DB" w:rsidRPr="00C40ABE" w:rsidRDefault="00087BA2">
            <w:pPr>
              <w:autoSpaceDE w:val="0"/>
              <w:autoSpaceDN w:val="0"/>
              <w:snapToGrid w:val="0"/>
              <w:spacing w:before="120" w:after="120"/>
              <w:ind w:left="360" w:hanging="360"/>
              <w:contextualSpacing/>
              <w:rPr>
                <w:sz w:val="18"/>
                <w:szCs w:val="18"/>
              </w:rPr>
            </w:pPr>
            <w:r w:rsidRPr="00C40ABE">
              <w:rPr>
                <w:color w:val="000000"/>
                <w:sz w:val="18"/>
                <w:szCs w:val="18"/>
              </w:rPr>
              <w:t>2. Support receiving L1 indication for TRS availability</w:t>
            </w:r>
          </w:p>
          <w:p w:rsidR="005940DB" w:rsidRPr="00C40ABE" w:rsidRDefault="00087BA2">
            <w:pPr>
              <w:autoSpaceDE w:val="0"/>
              <w:autoSpaceDN w:val="0"/>
              <w:snapToGrid w:val="0"/>
              <w:spacing w:before="120" w:after="120"/>
              <w:ind w:left="360" w:hanging="360"/>
              <w:contextualSpacing/>
              <w:rPr>
                <w:sz w:val="18"/>
                <w:szCs w:val="18"/>
              </w:rPr>
            </w:pPr>
            <w:r w:rsidRPr="00C40ABE">
              <w:rPr>
                <w:color w:val="FF0000"/>
                <w:sz w:val="18"/>
                <w:szCs w:val="18"/>
              </w:rPr>
              <w:t xml:space="preserve">FFS whether to separate the capability for </w:t>
            </w:r>
            <w:r w:rsidRPr="00C40ABE">
              <w:rPr>
                <w:color w:val="FF0000"/>
                <w:sz w:val="18"/>
                <w:szCs w:val="18"/>
              </w:rPr>
              <w:t>receiving L1 indication for TRS availability</w:t>
            </w:r>
            <w:bookmarkStart w:id="13" w:name="_GoBack"/>
            <w:bookmarkEnd w:id="13"/>
          </w:p>
        </w:tc>
        <w:tc>
          <w:tcPr>
            <w:tcW w:w="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40DB" w:rsidRPr="00C40ABE" w:rsidRDefault="005940DB">
            <w:pPr>
              <w:keepNext/>
              <w:spacing w:before="120" w:after="120"/>
              <w:rPr>
                <w:sz w:val="18"/>
                <w:szCs w:val="18"/>
              </w:rPr>
            </w:pPr>
          </w:p>
        </w:tc>
        <w:tc>
          <w:tcPr>
            <w:tcW w:w="17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5940DB" w:rsidRPr="00C40ABE" w:rsidRDefault="00087BA2">
            <w:pPr>
              <w:keepNext/>
              <w:spacing w:before="120" w:after="120"/>
              <w:rPr>
                <w:sz w:val="18"/>
                <w:szCs w:val="18"/>
              </w:rPr>
            </w:pPr>
            <w:r w:rsidRPr="00C40ABE">
              <w:rPr>
                <w:color w:val="000000"/>
                <w:sz w:val="18"/>
                <w:szCs w:val="18"/>
              </w:rPr>
              <w:t>N</w:t>
            </w: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40DB" w:rsidRPr="00C40ABE" w:rsidRDefault="005940DB">
            <w:pPr>
              <w:keepNext/>
              <w:spacing w:before="120" w:after="120"/>
              <w:rPr>
                <w:sz w:val="18"/>
                <w:szCs w:val="18"/>
              </w:rPr>
            </w:pPr>
          </w:p>
        </w:tc>
        <w:tc>
          <w:tcPr>
            <w:tcW w:w="37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5940DB" w:rsidRPr="00C40ABE" w:rsidRDefault="00087BA2">
            <w:pPr>
              <w:keepNext/>
              <w:spacing w:before="120" w:after="120"/>
              <w:rPr>
                <w:sz w:val="18"/>
                <w:szCs w:val="18"/>
              </w:rPr>
            </w:pPr>
            <w:r w:rsidRPr="00C40ABE">
              <w:rPr>
                <w:color w:val="000000"/>
                <w:sz w:val="18"/>
                <w:szCs w:val="18"/>
              </w:rPr>
              <w:t>Lose of power saving gain on AGC, time/frequency tracking in idle/inactive mode</w:t>
            </w:r>
          </w:p>
        </w:tc>
        <w:tc>
          <w:tcPr>
            <w:tcW w:w="25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5940DB" w:rsidRPr="00C40ABE" w:rsidRDefault="00087BA2">
            <w:pPr>
              <w:keepNext/>
              <w:spacing w:before="120" w:after="120"/>
              <w:rPr>
                <w:sz w:val="18"/>
                <w:szCs w:val="18"/>
              </w:rPr>
            </w:pPr>
            <w:r w:rsidRPr="00C40ABE">
              <w:rPr>
                <w:color w:val="000000"/>
                <w:sz w:val="18"/>
                <w:szCs w:val="18"/>
              </w:rPr>
              <w:t>Per UE</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5940DB" w:rsidRPr="00C40ABE" w:rsidRDefault="00087BA2">
            <w:pPr>
              <w:keepNext/>
              <w:spacing w:before="120" w:after="120"/>
              <w:rPr>
                <w:sz w:val="18"/>
                <w:szCs w:val="18"/>
              </w:rPr>
            </w:pPr>
            <w:r w:rsidRPr="00C40ABE">
              <w:rPr>
                <w:color w:val="000000"/>
                <w:sz w:val="18"/>
                <w:szCs w:val="18"/>
              </w:rPr>
              <w:t>N</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5940DB" w:rsidRPr="00C40ABE" w:rsidRDefault="00087BA2">
            <w:pPr>
              <w:keepNext/>
              <w:spacing w:before="120" w:after="120"/>
              <w:rPr>
                <w:sz w:val="18"/>
                <w:szCs w:val="18"/>
              </w:rPr>
            </w:pPr>
            <w:r w:rsidRPr="00C40ABE">
              <w:rPr>
                <w:color w:val="000000"/>
                <w:sz w:val="18"/>
                <w:szCs w:val="18"/>
              </w:rPr>
              <w:t>N</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5940DB" w:rsidRPr="00C40ABE" w:rsidRDefault="00087BA2">
            <w:pPr>
              <w:keepNext/>
              <w:spacing w:before="120" w:after="120"/>
              <w:rPr>
                <w:sz w:val="18"/>
                <w:szCs w:val="18"/>
              </w:rPr>
            </w:pPr>
            <w:r w:rsidRPr="00C40ABE">
              <w:rPr>
                <w:color w:val="000000"/>
                <w:sz w:val="18"/>
                <w:szCs w:val="18"/>
              </w:rPr>
              <w:t>N</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940DB" w:rsidRPr="00C40ABE" w:rsidRDefault="005940DB">
            <w:pPr>
              <w:keepNext/>
              <w:spacing w:before="120" w:after="120"/>
              <w:rPr>
                <w:sz w:val="18"/>
                <w:szCs w:val="18"/>
              </w:rPr>
            </w:pPr>
          </w:p>
        </w:tc>
        <w:tc>
          <w:tcPr>
            <w:tcW w:w="2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5940DB" w:rsidRPr="00C40ABE" w:rsidRDefault="00087BA2">
            <w:pPr>
              <w:keepNext/>
              <w:spacing w:before="120" w:after="120"/>
              <w:rPr>
                <w:sz w:val="18"/>
                <w:szCs w:val="18"/>
              </w:rPr>
            </w:pPr>
            <w:r w:rsidRPr="00C40ABE">
              <w:rPr>
                <w:color w:val="000000"/>
                <w:sz w:val="18"/>
                <w:szCs w:val="18"/>
              </w:rPr>
              <w:t>Optional without capability signalling</w:t>
            </w:r>
          </w:p>
        </w:tc>
      </w:tr>
    </w:tbl>
    <w:p w:rsidR="005940DB" w:rsidRPr="00C40ABE" w:rsidRDefault="00087BA2">
      <w:pPr>
        <w:spacing w:before="120" w:after="120"/>
        <w:rPr>
          <w:rFonts w:eastAsia="游ゴシック"/>
          <w:sz w:val="24"/>
          <w:szCs w:val="24"/>
        </w:rPr>
      </w:pPr>
      <w:r w:rsidRPr="00C40ABE">
        <w:rPr>
          <w:rFonts w:eastAsia="游ゴシック"/>
        </w:rPr>
        <w:t xml:space="preserve">Note that yellow highlight means FFS and to be discussed further. These </w:t>
      </w:r>
      <w:r w:rsidRPr="00C40ABE">
        <w:rPr>
          <w:rFonts w:eastAsia="游ゴシック"/>
        </w:rPr>
        <w:t>parts are provides as placeholders.</w:t>
      </w:r>
    </w:p>
    <w:p w:rsidR="005940DB" w:rsidRPr="00C40ABE" w:rsidRDefault="00087BA2">
      <w:pPr>
        <w:spacing w:before="120" w:after="120"/>
        <w:rPr>
          <w:rFonts w:eastAsia="MS Gothic"/>
          <w:sz w:val="22"/>
          <w:szCs w:val="22"/>
        </w:rPr>
      </w:pPr>
      <w:r w:rsidRPr="00C40ABE">
        <w:rPr>
          <w:sz w:val="22"/>
          <w:szCs w:val="22"/>
        </w:rPr>
        <w:t xml:space="preserve"> </w:t>
      </w:r>
    </w:p>
    <w:p w:rsidR="005940DB" w:rsidRPr="00C40ABE" w:rsidRDefault="00087BA2">
      <w:pPr>
        <w:spacing w:before="120" w:after="120"/>
        <w:rPr>
          <w:b/>
          <w:bCs/>
          <w:sz w:val="24"/>
          <w:szCs w:val="24"/>
        </w:rPr>
      </w:pPr>
      <w:r w:rsidRPr="00C40ABE">
        <w:rPr>
          <w:b/>
          <w:bCs/>
          <w:highlight w:val="green"/>
        </w:rPr>
        <w:t>Agreement</w:t>
      </w:r>
    </w:p>
    <w:p w:rsidR="005940DB" w:rsidRPr="00C40ABE" w:rsidRDefault="00087BA2">
      <w:pPr>
        <w:spacing w:before="120" w:after="120"/>
        <w:rPr>
          <w:rFonts w:eastAsia="MS PGothic"/>
          <w:color w:val="000000"/>
        </w:rPr>
      </w:pPr>
      <w:r w:rsidRPr="00C40ABE">
        <w:t xml:space="preserve">FG 29-1 is kept </w:t>
      </w:r>
      <w:r w:rsidRPr="00C40ABE">
        <w:rPr>
          <w:color w:val="FF0000"/>
        </w:rPr>
        <w:t>as placeholder</w:t>
      </w:r>
      <w:r w:rsidRPr="00C40ABE">
        <w:t xml:space="preserve"> as “Paging enhancement”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639"/>
        <w:gridCol w:w="1438"/>
        <w:gridCol w:w="5664"/>
        <w:gridCol w:w="1121"/>
        <w:gridCol w:w="761"/>
        <w:gridCol w:w="749"/>
        <w:gridCol w:w="1311"/>
        <w:gridCol w:w="1138"/>
        <w:gridCol w:w="880"/>
        <w:gridCol w:w="880"/>
        <w:gridCol w:w="877"/>
        <w:gridCol w:w="2378"/>
        <w:gridCol w:w="1168"/>
      </w:tblGrid>
      <w:tr w:rsidR="005940DB" w:rsidRPr="00C40ABE">
        <w:trPr>
          <w:trHeight w:val="20"/>
        </w:trPr>
        <w:tc>
          <w:tcPr>
            <w:tcW w:w="455" w:type="pct"/>
            <w:tcBorders>
              <w:top w:val="single" w:sz="4" w:space="0" w:color="auto"/>
              <w:left w:val="single" w:sz="4" w:space="0" w:color="auto"/>
              <w:bottom w:val="single" w:sz="4" w:space="0" w:color="auto"/>
              <w:right w:val="single" w:sz="4" w:space="0" w:color="auto"/>
            </w:tcBorders>
            <w:shd w:val="clear" w:color="auto" w:fill="FFFF00"/>
          </w:tcPr>
          <w:p w:rsidR="005940DB" w:rsidRPr="00C40ABE" w:rsidRDefault="00087BA2">
            <w:pPr>
              <w:pStyle w:val="TAL"/>
              <w:spacing w:before="120" w:after="120"/>
              <w:rPr>
                <w:rFonts w:ascii="Times New Roman" w:eastAsia="MS Mincho" w:hAnsi="Times New Roman"/>
              </w:rPr>
            </w:pPr>
            <w:r w:rsidRPr="00C40ABE">
              <w:rPr>
                <w:rFonts w:ascii="Times New Roman" w:hAnsi="Times New Roman"/>
              </w:rPr>
              <w:t>29.</w:t>
            </w:r>
            <w:r w:rsidRPr="00C40ABE">
              <w:rPr>
                <w:rFonts w:ascii="Times New Roman" w:hAnsi="Times New Roman"/>
              </w:rPr>
              <w:t> </w:t>
            </w:r>
            <w:r w:rsidRPr="00C40ABE">
              <w:rPr>
                <w:rFonts w:ascii="Times New Roman" w:hAnsi="Times New Roman"/>
              </w:rPr>
              <w:t>NR_UE_pow_sav_enh</w:t>
            </w:r>
          </w:p>
        </w:tc>
        <w:tc>
          <w:tcPr>
            <w:tcW w:w="155" w:type="pct"/>
            <w:tcBorders>
              <w:top w:val="single" w:sz="4" w:space="0" w:color="auto"/>
              <w:left w:val="nil"/>
              <w:bottom w:val="single" w:sz="4" w:space="0" w:color="auto"/>
              <w:right w:val="single" w:sz="4" w:space="0" w:color="auto"/>
            </w:tcBorders>
            <w:shd w:val="clear" w:color="auto" w:fill="FFFF00"/>
          </w:tcPr>
          <w:p w:rsidR="005940DB" w:rsidRPr="00C40ABE" w:rsidRDefault="00087BA2">
            <w:pPr>
              <w:pStyle w:val="TAL"/>
              <w:spacing w:before="120" w:after="120"/>
              <w:rPr>
                <w:rFonts w:ascii="Times New Roman" w:hAnsi="Times New Roman"/>
              </w:rPr>
            </w:pPr>
            <w:r w:rsidRPr="00C40ABE">
              <w:rPr>
                <w:rFonts w:ascii="Times New Roman" w:hAnsi="Times New Roman"/>
              </w:rPr>
              <w:t>29-1</w:t>
            </w:r>
          </w:p>
        </w:tc>
        <w:tc>
          <w:tcPr>
            <w:tcW w:w="344" w:type="pct"/>
            <w:tcBorders>
              <w:top w:val="single" w:sz="4" w:space="0" w:color="auto"/>
              <w:left w:val="nil"/>
              <w:bottom w:val="single" w:sz="4" w:space="0" w:color="auto"/>
              <w:right w:val="single" w:sz="4" w:space="0" w:color="auto"/>
            </w:tcBorders>
            <w:shd w:val="clear" w:color="auto" w:fill="FFFF00"/>
          </w:tcPr>
          <w:p w:rsidR="005940DB" w:rsidRPr="00C40ABE" w:rsidRDefault="00087BA2">
            <w:pPr>
              <w:pStyle w:val="TAL"/>
              <w:spacing w:before="120" w:after="120"/>
              <w:rPr>
                <w:rFonts w:ascii="Times New Roman" w:hAnsi="Times New Roman"/>
              </w:rPr>
            </w:pPr>
            <w:r w:rsidRPr="00C40ABE">
              <w:rPr>
                <w:rFonts w:ascii="Times New Roman" w:hAnsi="Times New Roman"/>
              </w:rPr>
              <w:t>Paging enhancement</w:t>
            </w:r>
            <w:r w:rsidRPr="00C40ABE">
              <w:rPr>
                <w:rFonts w:ascii="Times New Roman" w:hAnsi="Times New Roman"/>
              </w:rPr>
              <w:tab/>
            </w:r>
          </w:p>
          <w:p w:rsidR="005940DB" w:rsidRPr="00C40ABE" w:rsidRDefault="00087BA2">
            <w:pPr>
              <w:pStyle w:val="TAL"/>
              <w:spacing w:before="120" w:after="120"/>
              <w:rPr>
                <w:rFonts w:ascii="Times New Roman" w:hAnsi="Times New Roman"/>
              </w:rPr>
            </w:pPr>
            <w:r w:rsidRPr="00C40ABE">
              <w:rPr>
                <w:rFonts w:ascii="Times New Roman" w:hAnsi="Times New Roman"/>
              </w:rPr>
              <w:tab/>
            </w:r>
          </w:p>
        </w:tc>
        <w:tc>
          <w:tcPr>
            <w:tcW w:w="1343" w:type="pct"/>
            <w:tcBorders>
              <w:top w:val="single" w:sz="4" w:space="0" w:color="auto"/>
              <w:left w:val="nil"/>
              <w:bottom w:val="single" w:sz="4" w:space="0" w:color="auto"/>
              <w:right w:val="single" w:sz="4" w:space="0" w:color="auto"/>
            </w:tcBorders>
            <w:shd w:val="clear" w:color="auto" w:fill="FFFF00"/>
          </w:tcPr>
          <w:p w:rsidR="005940DB" w:rsidRPr="00C40ABE" w:rsidRDefault="00087BA2">
            <w:pPr>
              <w:autoSpaceDE w:val="0"/>
              <w:autoSpaceDN w:val="0"/>
              <w:adjustRightInd w:val="0"/>
              <w:snapToGrid w:val="0"/>
              <w:spacing w:before="120" w:after="120"/>
              <w:contextualSpacing/>
              <w:rPr>
                <w:rFonts w:eastAsia="MS Gothic"/>
                <w:sz w:val="18"/>
                <w:szCs w:val="18"/>
              </w:rPr>
            </w:pPr>
            <w:r w:rsidRPr="00C40ABE">
              <w:rPr>
                <w:sz w:val="18"/>
                <w:szCs w:val="18"/>
              </w:rPr>
              <w:t>1. Support paging early indication</w:t>
            </w:r>
          </w:p>
          <w:p w:rsidR="005940DB" w:rsidRPr="00C40ABE" w:rsidRDefault="00087BA2">
            <w:pPr>
              <w:autoSpaceDE w:val="0"/>
              <w:autoSpaceDN w:val="0"/>
              <w:adjustRightInd w:val="0"/>
              <w:snapToGrid w:val="0"/>
              <w:spacing w:before="120" w:after="120"/>
              <w:contextualSpacing/>
              <w:rPr>
                <w:sz w:val="18"/>
                <w:szCs w:val="18"/>
              </w:rPr>
            </w:pPr>
            <w:r w:rsidRPr="00C40ABE">
              <w:rPr>
                <w:sz w:val="18"/>
                <w:szCs w:val="18"/>
              </w:rPr>
              <w:t>2. Support UE subgroup indication</w:t>
            </w:r>
          </w:p>
          <w:p w:rsidR="005940DB" w:rsidRPr="00C40ABE" w:rsidRDefault="005940DB">
            <w:pPr>
              <w:autoSpaceDE w:val="0"/>
              <w:autoSpaceDN w:val="0"/>
              <w:adjustRightInd w:val="0"/>
              <w:snapToGrid w:val="0"/>
              <w:spacing w:before="120" w:after="120"/>
              <w:contextualSpacing/>
              <w:rPr>
                <w:sz w:val="18"/>
                <w:szCs w:val="18"/>
              </w:rPr>
            </w:pPr>
          </w:p>
        </w:tc>
        <w:tc>
          <w:tcPr>
            <w:tcW w:w="269" w:type="pct"/>
            <w:tcBorders>
              <w:top w:val="single" w:sz="4" w:space="0" w:color="auto"/>
              <w:left w:val="nil"/>
              <w:bottom w:val="single" w:sz="4" w:space="0" w:color="auto"/>
              <w:right w:val="single" w:sz="4" w:space="0" w:color="auto"/>
            </w:tcBorders>
            <w:shd w:val="clear" w:color="auto" w:fill="FFFF00"/>
          </w:tcPr>
          <w:p w:rsidR="005940DB" w:rsidRPr="00C40ABE" w:rsidRDefault="005940DB">
            <w:pPr>
              <w:pStyle w:val="TAL"/>
              <w:spacing w:before="120" w:after="120"/>
              <w:rPr>
                <w:rFonts w:ascii="Times New Roman" w:hAnsi="Times New Roman"/>
                <w:szCs w:val="18"/>
                <w:highlight w:val="yellow"/>
              </w:rPr>
            </w:pPr>
          </w:p>
        </w:tc>
        <w:tc>
          <w:tcPr>
            <w:tcW w:w="184" w:type="pct"/>
            <w:tcBorders>
              <w:top w:val="single" w:sz="4" w:space="0" w:color="auto"/>
              <w:left w:val="nil"/>
              <w:bottom w:val="single" w:sz="4" w:space="0" w:color="auto"/>
              <w:right w:val="single" w:sz="4" w:space="0" w:color="auto"/>
            </w:tcBorders>
            <w:shd w:val="clear" w:color="auto" w:fill="FFFF00"/>
          </w:tcPr>
          <w:p w:rsidR="005940DB" w:rsidRPr="00C40ABE" w:rsidRDefault="00087BA2">
            <w:pPr>
              <w:pStyle w:val="TAL"/>
              <w:spacing w:before="120" w:after="120"/>
              <w:rPr>
                <w:rFonts w:ascii="Times New Roman" w:hAnsi="Times New Roman"/>
              </w:rPr>
            </w:pPr>
            <w:r w:rsidRPr="00C40ABE">
              <w:rPr>
                <w:rFonts w:ascii="Times New Roman" w:hAnsi="Times New Roman"/>
              </w:rPr>
              <w:t>N</w:t>
            </w:r>
          </w:p>
        </w:tc>
        <w:tc>
          <w:tcPr>
            <w:tcW w:w="181" w:type="pct"/>
            <w:tcBorders>
              <w:top w:val="single" w:sz="4" w:space="0" w:color="auto"/>
              <w:left w:val="nil"/>
              <w:bottom w:val="single" w:sz="4" w:space="0" w:color="auto"/>
              <w:right w:val="single" w:sz="4" w:space="0" w:color="auto"/>
            </w:tcBorders>
            <w:shd w:val="clear" w:color="auto" w:fill="FFFF00"/>
          </w:tcPr>
          <w:p w:rsidR="005940DB" w:rsidRPr="00C40ABE" w:rsidRDefault="005940DB">
            <w:pPr>
              <w:pStyle w:val="TAL"/>
              <w:spacing w:before="120" w:after="120"/>
              <w:rPr>
                <w:rFonts w:ascii="Times New Roman" w:eastAsia="MS Mincho" w:hAnsi="Times New Roman"/>
              </w:rPr>
            </w:pPr>
          </w:p>
        </w:tc>
        <w:tc>
          <w:tcPr>
            <w:tcW w:w="314" w:type="pct"/>
            <w:tcBorders>
              <w:top w:val="single" w:sz="4" w:space="0" w:color="auto"/>
              <w:left w:val="nil"/>
              <w:bottom w:val="single" w:sz="4" w:space="0" w:color="auto"/>
              <w:right w:val="single" w:sz="4" w:space="0" w:color="auto"/>
            </w:tcBorders>
            <w:shd w:val="clear" w:color="auto" w:fill="FFFF00"/>
          </w:tcPr>
          <w:p w:rsidR="005940DB" w:rsidRPr="00C40ABE" w:rsidRDefault="00087BA2">
            <w:pPr>
              <w:pStyle w:val="TAL"/>
              <w:spacing w:before="120" w:after="120"/>
              <w:rPr>
                <w:rFonts w:ascii="Times New Roman" w:hAnsi="Times New Roman"/>
              </w:rPr>
            </w:pPr>
            <w:r w:rsidRPr="00C40ABE">
              <w:rPr>
                <w:rFonts w:ascii="Times New Roman" w:hAnsi="Times New Roman"/>
              </w:rPr>
              <w:t xml:space="preserve">High idle/inactive </w:t>
            </w:r>
            <w:r w:rsidRPr="00C40ABE">
              <w:rPr>
                <w:rFonts w:ascii="Times New Roman" w:hAnsi="Times New Roman"/>
              </w:rPr>
              <w:t>mode UE power consumption if NR SA networks</w:t>
            </w:r>
          </w:p>
        </w:tc>
        <w:tc>
          <w:tcPr>
            <w:tcW w:w="273" w:type="pct"/>
            <w:tcBorders>
              <w:top w:val="single" w:sz="4" w:space="0" w:color="auto"/>
              <w:left w:val="nil"/>
              <w:bottom w:val="single" w:sz="4" w:space="0" w:color="auto"/>
              <w:right w:val="single" w:sz="4" w:space="0" w:color="auto"/>
            </w:tcBorders>
            <w:shd w:val="clear" w:color="auto" w:fill="FFFF00"/>
          </w:tcPr>
          <w:p w:rsidR="005940DB" w:rsidRPr="00C40ABE" w:rsidRDefault="00087BA2">
            <w:pPr>
              <w:pStyle w:val="TAL"/>
              <w:spacing w:before="120" w:after="120"/>
              <w:rPr>
                <w:rFonts w:ascii="Times New Roman" w:hAnsi="Times New Roman"/>
              </w:rPr>
            </w:pPr>
            <w:r w:rsidRPr="00C40ABE">
              <w:rPr>
                <w:rFonts w:ascii="Times New Roman" w:hAnsi="Times New Roman"/>
              </w:rPr>
              <w:t>Per UE</w:t>
            </w:r>
          </w:p>
        </w:tc>
        <w:tc>
          <w:tcPr>
            <w:tcW w:w="212" w:type="pct"/>
            <w:tcBorders>
              <w:top w:val="single" w:sz="4" w:space="0" w:color="auto"/>
              <w:left w:val="nil"/>
              <w:bottom w:val="single" w:sz="4" w:space="0" w:color="auto"/>
              <w:right w:val="single" w:sz="4" w:space="0" w:color="auto"/>
            </w:tcBorders>
            <w:shd w:val="clear" w:color="auto" w:fill="FFFF00"/>
          </w:tcPr>
          <w:p w:rsidR="005940DB" w:rsidRPr="00C40ABE" w:rsidRDefault="00087BA2">
            <w:pPr>
              <w:pStyle w:val="TAL"/>
              <w:spacing w:before="120" w:after="120"/>
              <w:rPr>
                <w:rFonts w:ascii="Times New Roman" w:eastAsia="MS Mincho" w:hAnsi="Times New Roman"/>
              </w:rPr>
            </w:pPr>
            <w:r w:rsidRPr="00C40ABE">
              <w:rPr>
                <w:rFonts w:ascii="Times New Roman" w:hAnsi="Times New Roman"/>
              </w:rPr>
              <w:t>N</w:t>
            </w:r>
          </w:p>
        </w:tc>
        <w:tc>
          <w:tcPr>
            <w:tcW w:w="212" w:type="pct"/>
            <w:tcBorders>
              <w:top w:val="single" w:sz="4" w:space="0" w:color="auto"/>
              <w:left w:val="nil"/>
              <w:bottom w:val="single" w:sz="4" w:space="0" w:color="auto"/>
              <w:right w:val="single" w:sz="4" w:space="0" w:color="auto"/>
            </w:tcBorders>
            <w:shd w:val="clear" w:color="auto" w:fill="FFFF00"/>
          </w:tcPr>
          <w:p w:rsidR="005940DB" w:rsidRPr="00C40ABE" w:rsidRDefault="00087BA2">
            <w:pPr>
              <w:pStyle w:val="TAL"/>
              <w:spacing w:before="120" w:after="120"/>
              <w:rPr>
                <w:rFonts w:ascii="Times New Roman" w:hAnsi="Times New Roman"/>
              </w:rPr>
            </w:pPr>
            <w:r w:rsidRPr="00C40ABE">
              <w:rPr>
                <w:rFonts w:ascii="Times New Roman" w:hAnsi="Times New Roman"/>
              </w:rPr>
              <w:t>N</w:t>
            </w:r>
          </w:p>
        </w:tc>
        <w:tc>
          <w:tcPr>
            <w:tcW w:w="211" w:type="pct"/>
            <w:tcBorders>
              <w:top w:val="single" w:sz="4" w:space="0" w:color="auto"/>
              <w:left w:val="nil"/>
              <w:bottom w:val="single" w:sz="4" w:space="0" w:color="auto"/>
              <w:right w:val="single" w:sz="4" w:space="0" w:color="auto"/>
            </w:tcBorders>
            <w:shd w:val="clear" w:color="auto" w:fill="FFFF00"/>
          </w:tcPr>
          <w:p w:rsidR="005940DB" w:rsidRPr="00C40ABE" w:rsidRDefault="00087BA2">
            <w:pPr>
              <w:pStyle w:val="TAL"/>
              <w:spacing w:before="120" w:after="120"/>
              <w:rPr>
                <w:rFonts w:ascii="Times New Roman" w:hAnsi="Times New Roman"/>
              </w:rPr>
            </w:pPr>
            <w:r w:rsidRPr="00C40ABE">
              <w:rPr>
                <w:rFonts w:ascii="Times New Roman" w:hAnsi="Times New Roman"/>
              </w:rPr>
              <w:t>N</w:t>
            </w:r>
          </w:p>
        </w:tc>
        <w:tc>
          <w:tcPr>
            <w:tcW w:w="566" w:type="pct"/>
            <w:tcBorders>
              <w:top w:val="single" w:sz="4" w:space="0" w:color="auto"/>
              <w:left w:val="nil"/>
              <w:bottom w:val="single" w:sz="4" w:space="0" w:color="auto"/>
              <w:right w:val="single" w:sz="4" w:space="0" w:color="auto"/>
            </w:tcBorders>
            <w:shd w:val="clear" w:color="auto" w:fill="FFFF00"/>
          </w:tcPr>
          <w:p w:rsidR="005940DB" w:rsidRPr="00C40ABE" w:rsidRDefault="00087BA2">
            <w:pPr>
              <w:pStyle w:val="TAL"/>
              <w:spacing w:before="120" w:after="120"/>
              <w:rPr>
                <w:rFonts w:ascii="Times New Roman" w:hAnsi="Times New Roman"/>
              </w:rPr>
            </w:pPr>
            <w:r w:rsidRPr="00C40ABE">
              <w:rPr>
                <w:rFonts w:ascii="Times New Roman" w:hAnsi="Times New Roman"/>
                <w:color w:val="FF0000"/>
              </w:rPr>
              <w:t>F</w:t>
            </w:r>
            <w:r w:rsidRPr="00C40ABE">
              <w:rPr>
                <w:rFonts w:ascii="Times New Roman" w:hAnsi="Times New Roman"/>
                <w:color w:val="FF0000"/>
              </w:rPr>
              <w:t xml:space="preserve">or component 2, </w:t>
            </w:r>
            <w:r w:rsidRPr="00C40ABE">
              <w:rPr>
                <w:rFonts w:ascii="Times New Roman" w:hAnsi="Times New Roman"/>
                <w:color w:val="FF0000"/>
              </w:rPr>
              <w:t>it is up to RAN2 whether/how to separate the capability for UE subgroup indication</w:t>
            </w:r>
          </w:p>
        </w:tc>
        <w:tc>
          <w:tcPr>
            <w:tcW w:w="280" w:type="pct"/>
            <w:tcBorders>
              <w:top w:val="single" w:sz="4" w:space="0" w:color="auto"/>
              <w:left w:val="nil"/>
              <w:bottom w:val="single" w:sz="4" w:space="0" w:color="auto"/>
              <w:right w:val="single" w:sz="4" w:space="0" w:color="auto"/>
            </w:tcBorders>
            <w:shd w:val="clear" w:color="auto" w:fill="FFFF00"/>
          </w:tcPr>
          <w:p w:rsidR="005940DB" w:rsidRPr="00C40ABE" w:rsidRDefault="00087BA2">
            <w:pPr>
              <w:pStyle w:val="TAL"/>
              <w:spacing w:before="120" w:after="120"/>
              <w:rPr>
                <w:rFonts w:ascii="Times New Roman" w:hAnsi="Times New Roman"/>
              </w:rPr>
            </w:pPr>
            <w:r w:rsidRPr="00C40ABE">
              <w:rPr>
                <w:rFonts w:ascii="Times New Roman" w:hAnsi="Times New Roman"/>
              </w:rPr>
              <w:t>Optional without capability signalling</w:t>
            </w:r>
          </w:p>
        </w:tc>
      </w:tr>
    </w:tbl>
    <w:p w:rsidR="005940DB" w:rsidRPr="00C40ABE" w:rsidRDefault="00087BA2">
      <w:pPr>
        <w:spacing w:before="120" w:after="120"/>
        <w:rPr>
          <w:rFonts w:eastAsia="游ゴシック"/>
        </w:rPr>
      </w:pPr>
      <w:r w:rsidRPr="00C40ABE">
        <w:rPr>
          <w:rFonts w:eastAsia="游ゴシック"/>
        </w:rPr>
        <w:t xml:space="preserve">Note that yellow highlight means FFS and to be discussed </w:t>
      </w:r>
      <w:r w:rsidRPr="00C40ABE">
        <w:rPr>
          <w:rFonts w:eastAsia="游ゴシック"/>
        </w:rPr>
        <w:t>further. These parts are provides as placeholders.</w:t>
      </w:r>
    </w:p>
    <w:p w:rsidR="005940DB" w:rsidRDefault="00087BA2">
      <w:pPr>
        <w:spacing w:before="120" w:after="120"/>
        <w:rPr>
          <w:rFonts w:eastAsia="MS Gothic"/>
          <w:sz w:val="22"/>
          <w:szCs w:val="22"/>
        </w:rPr>
      </w:pPr>
      <w:r>
        <w:rPr>
          <w:sz w:val="22"/>
          <w:szCs w:val="22"/>
        </w:rPr>
        <w:t xml:space="preserve"> </w:t>
      </w:r>
    </w:p>
    <w:p w:rsidR="005940DB" w:rsidRDefault="005940DB">
      <w:pPr>
        <w:spacing w:before="120" w:after="120"/>
      </w:pPr>
    </w:p>
    <w:p w:rsidR="005940DB" w:rsidRDefault="005940DB">
      <w:pPr>
        <w:spacing w:beforeLines="0" w:afterLines="0"/>
        <w:jc w:val="left"/>
      </w:pPr>
    </w:p>
    <w:sectPr w:rsidR="005940DB">
      <w:pgSz w:w="23814" w:h="16840" w:orient="landscape"/>
      <w:pgMar w:top="1378" w:right="1440" w:bottom="1202"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7BA2" w:rsidRDefault="00087BA2">
      <w:pPr>
        <w:spacing w:before="120" w:after="120" w:line="240" w:lineRule="auto"/>
      </w:pPr>
      <w:r>
        <w:separator/>
      </w:r>
    </w:p>
  </w:endnote>
  <w:endnote w:type="continuationSeparator" w:id="0">
    <w:p w:rsidR="00087BA2" w:rsidRDefault="00087BA2">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游ゴシック">
    <w:altName w:val="Segoe Print"/>
    <w:charset w:val="00"/>
    <w:family w:val="auto"/>
    <w:pitch w:val="default"/>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0DB" w:rsidRDefault="005940DB">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0DB" w:rsidRDefault="00087BA2">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940DB" w:rsidRDefault="00087BA2">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C40ABE">
                            <w:rPr>
                              <w:noProof/>
                            </w:rP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940DB" w:rsidRDefault="00087BA2">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C40ABE">
                      <w:rPr>
                        <w:noProof/>
                      </w:rPr>
                      <w:t>4</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0DB" w:rsidRDefault="005940DB">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7BA2" w:rsidRDefault="00087BA2">
      <w:pPr>
        <w:spacing w:before="120" w:after="120" w:line="240" w:lineRule="auto"/>
      </w:pPr>
      <w:r>
        <w:separator/>
      </w:r>
    </w:p>
  </w:footnote>
  <w:footnote w:type="continuationSeparator" w:id="0">
    <w:p w:rsidR="00087BA2" w:rsidRDefault="00087BA2">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0DB" w:rsidRDefault="005940DB">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0DB" w:rsidRDefault="005940DB">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0DB" w:rsidRDefault="005940DB">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296A01BF"/>
    <w:multiLevelType w:val="multilevel"/>
    <w:tmpl w:val="296A01B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E937385"/>
    <w:multiLevelType w:val="multilevel"/>
    <w:tmpl w:val="2E937385"/>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
      <w:lvlJc w:val="left"/>
      <w:pPr>
        <w:tabs>
          <w:tab w:val="left" w:pos="1440"/>
        </w:tabs>
        <w:ind w:left="1440" w:hanging="360"/>
      </w:pPr>
      <w:rPr>
        <w:rFonts w:ascii="Symbol" w:hAnsi="Symbol"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3C111145"/>
    <w:multiLevelType w:val="multilevel"/>
    <w:tmpl w:val="3C111145"/>
    <w:lvl w:ilvl="0">
      <w:start w:val="1"/>
      <w:numFmt w:val="bullet"/>
      <w:lvlText w:val=""/>
      <w:lvlJc w:val="left"/>
      <w:pPr>
        <w:ind w:left="720" w:hanging="360"/>
      </w:pPr>
      <w:rPr>
        <w:rFonts w:ascii="Wingdings" w:hAnsi="Wingdings"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nsid w:val="6CA83B0D"/>
    <w:multiLevelType w:val="multilevel"/>
    <w:tmpl w:val="6CA83B0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10"/>
  </w:num>
  <w:num w:numId="5">
    <w:abstractNumId w:val="1"/>
  </w:num>
  <w:num w:numId="6">
    <w:abstractNumId w:val="8"/>
  </w:num>
  <w:num w:numId="7">
    <w:abstractNumId w:val="6"/>
  </w:num>
  <w:num w:numId="8">
    <w:abstractNumId w:val="4"/>
  </w:num>
  <w:num w:numId="9">
    <w:abstractNumId w:val="7"/>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E89"/>
    <w:rsid w:val="00013735"/>
    <w:rsid w:val="00015154"/>
    <w:rsid w:val="00015BFB"/>
    <w:rsid w:val="00015EDB"/>
    <w:rsid w:val="00026E93"/>
    <w:rsid w:val="0003215A"/>
    <w:rsid w:val="00042E39"/>
    <w:rsid w:val="0004491B"/>
    <w:rsid w:val="00064D22"/>
    <w:rsid w:val="00080105"/>
    <w:rsid w:val="00087BA2"/>
    <w:rsid w:val="000A0061"/>
    <w:rsid w:val="000A6B3B"/>
    <w:rsid w:val="000B63CC"/>
    <w:rsid w:val="000C74F7"/>
    <w:rsid w:val="000C7C50"/>
    <w:rsid w:val="000D26FB"/>
    <w:rsid w:val="000E501F"/>
    <w:rsid w:val="000F65FF"/>
    <w:rsid w:val="000F72AD"/>
    <w:rsid w:val="001034DA"/>
    <w:rsid w:val="00104216"/>
    <w:rsid w:val="0010617D"/>
    <w:rsid w:val="001163CA"/>
    <w:rsid w:val="001452CB"/>
    <w:rsid w:val="001506E9"/>
    <w:rsid w:val="00166DD7"/>
    <w:rsid w:val="00172A27"/>
    <w:rsid w:val="0019443E"/>
    <w:rsid w:val="001B6A16"/>
    <w:rsid w:val="001C396E"/>
    <w:rsid w:val="001D042C"/>
    <w:rsid w:val="001E68D2"/>
    <w:rsid w:val="001F6FBD"/>
    <w:rsid w:val="00200427"/>
    <w:rsid w:val="002040EC"/>
    <w:rsid w:val="00204BEB"/>
    <w:rsid w:val="00217072"/>
    <w:rsid w:val="002217CD"/>
    <w:rsid w:val="002254E5"/>
    <w:rsid w:val="00245899"/>
    <w:rsid w:val="002517EA"/>
    <w:rsid w:val="00262D31"/>
    <w:rsid w:val="00266EB2"/>
    <w:rsid w:val="0026734A"/>
    <w:rsid w:val="00272E7B"/>
    <w:rsid w:val="00291E13"/>
    <w:rsid w:val="00292BDC"/>
    <w:rsid w:val="002A1851"/>
    <w:rsid w:val="002B29E4"/>
    <w:rsid w:val="002B3F85"/>
    <w:rsid w:val="002B4EB7"/>
    <w:rsid w:val="002B532D"/>
    <w:rsid w:val="002B6BD7"/>
    <w:rsid w:val="002F25AA"/>
    <w:rsid w:val="003007B3"/>
    <w:rsid w:val="00300F18"/>
    <w:rsid w:val="003027A7"/>
    <w:rsid w:val="00303048"/>
    <w:rsid w:val="00331B1C"/>
    <w:rsid w:val="00331EF2"/>
    <w:rsid w:val="00334743"/>
    <w:rsid w:val="00345B55"/>
    <w:rsid w:val="00354570"/>
    <w:rsid w:val="00367434"/>
    <w:rsid w:val="00367EF9"/>
    <w:rsid w:val="0037064B"/>
    <w:rsid w:val="00370C23"/>
    <w:rsid w:val="00371CBB"/>
    <w:rsid w:val="00375A07"/>
    <w:rsid w:val="003766C6"/>
    <w:rsid w:val="00377BC5"/>
    <w:rsid w:val="00380742"/>
    <w:rsid w:val="00396ADB"/>
    <w:rsid w:val="003A103D"/>
    <w:rsid w:val="003A7E56"/>
    <w:rsid w:val="003B1149"/>
    <w:rsid w:val="003B217C"/>
    <w:rsid w:val="003C31D2"/>
    <w:rsid w:val="003D1DD7"/>
    <w:rsid w:val="003E38AE"/>
    <w:rsid w:val="003E4BBB"/>
    <w:rsid w:val="003F73CB"/>
    <w:rsid w:val="004265D0"/>
    <w:rsid w:val="004326F4"/>
    <w:rsid w:val="00441FB9"/>
    <w:rsid w:val="00452AB6"/>
    <w:rsid w:val="00453986"/>
    <w:rsid w:val="0045623B"/>
    <w:rsid w:val="00461AA7"/>
    <w:rsid w:val="00476112"/>
    <w:rsid w:val="00496216"/>
    <w:rsid w:val="004A5821"/>
    <w:rsid w:val="004C05FA"/>
    <w:rsid w:val="004C1151"/>
    <w:rsid w:val="004C1173"/>
    <w:rsid w:val="004C7FE3"/>
    <w:rsid w:val="004F1990"/>
    <w:rsid w:val="004F342B"/>
    <w:rsid w:val="004F7324"/>
    <w:rsid w:val="00503141"/>
    <w:rsid w:val="00517339"/>
    <w:rsid w:val="005212D2"/>
    <w:rsid w:val="005228C9"/>
    <w:rsid w:val="00522A39"/>
    <w:rsid w:val="005240E5"/>
    <w:rsid w:val="0052589E"/>
    <w:rsid w:val="005420CA"/>
    <w:rsid w:val="005436CE"/>
    <w:rsid w:val="005439D4"/>
    <w:rsid w:val="00546231"/>
    <w:rsid w:val="005463C8"/>
    <w:rsid w:val="005650A3"/>
    <w:rsid w:val="00566FDE"/>
    <w:rsid w:val="0057277B"/>
    <w:rsid w:val="005802EF"/>
    <w:rsid w:val="00583697"/>
    <w:rsid w:val="0058704C"/>
    <w:rsid w:val="00591149"/>
    <w:rsid w:val="005940DB"/>
    <w:rsid w:val="00597ADE"/>
    <w:rsid w:val="005A752A"/>
    <w:rsid w:val="005B065E"/>
    <w:rsid w:val="005B0D3F"/>
    <w:rsid w:val="005D14DB"/>
    <w:rsid w:val="005E6D49"/>
    <w:rsid w:val="005F1A12"/>
    <w:rsid w:val="005F3D0F"/>
    <w:rsid w:val="0062153B"/>
    <w:rsid w:val="0062167D"/>
    <w:rsid w:val="00633C6F"/>
    <w:rsid w:val="0063757E"/>
    <w:rsid w:val="006432A2"/>
    <w:rsid w:val="00643612"/>
    <w:rsid w:val="00645E5F"/>
    <w:rsid w:val="006733C4"/>
    <w:rsid w:val="00677C91"/>
    <w:rsid w:val="0068648D"/>
    <w:rsid w:val="006970AA"/>
    <w:rsid w:val="006A072C"/>
    <w:rsid w:val="006B10CB"/>
    <w:rsid w:val="006B63E2"/>
    <w:rsid w:val="006C61BF"/>
    <w:rsid w:val="006D3CB8"/>
    <w:rsid w:val="006D42B1"/>
    <w:rsid w:val="006E69D1"/>
    <w:rsid w:val="006F0B4C"/>
    <w:rsid w:val="00711D48"/>
    <w:rsid w:val="00713810"/>
    <w:rsid w:val="00715B8C"/>
    <w:rsid w:val="007166E8"/>
    <w:rsid w:val="0074089D"/>
    <w:rsid w:val="007476DD"/>
    <w:rsid w:val="007521D6"/>
    <w:rsid w:val="00781710"/>
    <w:rsid w:val="00795FC2"/>
    <w:rsid w:val="00796ACD"/>
    <w:rsid w:val="007A0C1E"/>
    <w:rsid w:val="007A24B9"/>
    <w:rsid w:val="007A5CFF"/>
    <w:rsid w:val="007B0734"/>
    <w:rsid w:val="007B379C"/>
    <w:rsid w:val="007C2A55"/>
    <w:rsid w:val="007C2CEC"/>
    <w:rsid w:val="007C5F99"/>
    <w:rsid w:val="007C6A0A"/>
    <w:rsid w:val="007E53B8"/>
    <w:rsid w:val="007F5FF3"/>
    <w:rsid w:val="007F6B9D"/>
    <w:rsid w:val="008026B7"/>
    <w:rsid w:val="008100B9"/>
    <w:rsid w:val="00812554"/>
    <w:rsid w:val="00817DE9"/>
    <w:rsid w:val="00830ED1"/>
    <w:rsid w:val="00832CF6"/>
    <w:rsid w:val="008345EB"/>
    <w:rsid w:val="00834F88"/>
    <w:rsid w:val="00847916"/>
    <w:rsid w:val="008543FC"/>
    <w:rsid w:val="00856229"/>
    <w:rsid w:val="00862777"/>
    <w:rsid w:val="008632D8"/>
    <w:rsid w:val="008642E5"/>
    <w:rsid w:val="008650A2"/>
    <w:rsid w:val="008660F3"/>
    <w:rsid w:val="0087435E"/>
    <w:rsid w:val="008776C3"/>
    <w:rsid w:val="00880E89"/>
    <w:rsid w:val="00894AD9"/>
    <w:rsid w:val="008A0205"/>
    <w:rsid w:val="008B7017"/>
    <w:rsid w:val="008B70CE"/>
    <w:rsid w:val="008B7CB0"/>
    <w:rsid w:val="008B7DB1"/>
    <w:rsid w:val="008C1A97"/>
    <w:rsid w:val="008C3050"/>
    <w:rsid w:val="008C329B"/>
    <w:rsid w:val="008C72D3"/>
    <w:rsid w:val="008D1D47"/>
    <w:rsid w:val="008D230F"/>
    <w:rsid w:val="008D38A0"/>
    <w:rsid w:val="008D54B2"/>
    <w:rsid w:val="008E0B96"/>
    <w:rsid w:val="008E587D"/>
    <w:rsid w:val="008E617E"/>
    <w:rsid w:val="008F11DE"/>
    <w:rsid w:val="008F1A9F"/>
    <w:rsid w:val="0090147B"/>
    <w:rsid w:val="009039E7"/>
    <w:rsid w:val="00922F23"/>
    <w:rsid w:val="00924149"/>
    <w:rsid w:val="00930332"/>
    <w:rsid w:val="00931643"/>
    <w:rsid w:val="009339F6"/>
    <w:rsid w:val="00944325"/>
    <w:rsid w:val="00953CDE"/>
    <w:rsid w:val="00955173"/>
    <w:rsid w:val="0096044C"/>
    <w:rsid w:val="00992CAA"/>
    <w:rsid w:val="0099436F"/>
    <w:rsid w:val="009944AA"/>
    <w:rsid w:val="009D1C4D"/>
    <w:rsid w:val="009D1E4F"/>
    <w:rsid w:val="009E3CEF"/>
    <w:rsid w:val="009F38E2"/>
    <w:rsid w:val="009F6042"/>
    <w:rsid w:val="00A027EF"/>
    <w:rsid w:val="00A02943"/>
    <w:rsid w:val="00A06031"/>
    <w:rsid w:val="00A12F88"/>
    <w:rsid w:val="00A14FF2"/>
    <w:rsid w:val="00A4166A"/>
    <w:rsid w:val="00A46CC4"/>
    <w:rsid w:val="00A57F9E"/>
    <w:rsid w:val="00A6710E"/>
    <w:rsid w:val="00A878AE"/>
    <w:rsid w:val="00A92636"/>
    <w:rsid w:val="00A941B0"/>
    <w:rsid w:val="00A95BB1"/>
    <w:rsid w:val="00A97EA7"/>
    <w:rsid w:val="00AA6E04"/>
    <w:rsid w:val="00AB783D"/>
    <w:rsid w:val="00AD4752"/>
    <w:rsid w:val="00AE5669"/>
    <w:rsid w:val="00AF797D"/>
    <w:rsid w:val="00AF7C15"/>
    <w:rsid w:val="00B31179"/>
    <w:rsid w:val="00B423EC"/>
    <w:rsid w:val="00B53D0E"/>
    <w:rsid w:val="00B66332"/>
    <w:rsid w:val="00B80549"/>
    <w:rsid w:val="00B81A6F"/>
    <w:rsid w:val="00B9484C"/>
    <w:rsid w:val="00BA36D8"/>
    <w:rsid w:val="00BA715F"/>
    <w:rsid w:val="00BC22AE"/>
    <w:rsid w:val="00BD47B2"/>
    <w:rsid w:val="00BD52A6"/>
    <w:rsid w:val="00BD6309"/>
    <w:rsid w:val="00BD7A04"/>
    <w:rsid w:val="00BE5EFB"/>
    <w:rsid w:val="00BE641D"/>
    <w:rsid w:val="00BF1E7C"/>
    <w:rsid w:val="00BF4B0E"/>
    <w:rsid w:val="00C039ED"/>
    <w:rsid w:val="00C134B6"/>
    <w:rsid w:val="00C137DB"/>
    <w:rsid w:val="00C166BC"/>
    <w:rsid w:val="00C169EE"/>
    <w:rsid w:val="00C22826"/>
    <w:rsid w:val="00C239A8"/>
    <w:rsid w:val="00C27740"/>
    <w:rsid w:val="00C37341"/>
    <w:rsid w:val="00C406CC"/>
    <w:rsid w:val="00C40ABE"/>
    <w:rsid w:val="00C637DC"/>
    <w:rsid w:val="00C654A1"/>
    <w:rsid w:val="00C71BD6"/>
    <w:rsid w:val="00C774C8"/>
    <w:rsid w:val="00CA1DBD"/>
    <w:rsid w:val="00CA3A7A"/>
    <w:rsid w:val="00CA6701"/>
    <w:rsid w:val="00CB2B6E"/>
    <w:rsid w:val="00CB7131"/>
    <w:rsid w:val="00CC4532"/>
    <w:rsid w:val="00CD3761"/>
    <w:rsid w:val="00CE1AD7"/>
    <w:rsid w:val="00D01D40"/>
    <w:rsid w:val="00D20A97"/>
    <w:rsid w:val="00D26B1F"/>
    <w:rsid w:val="00D40D43"/>
    <w:rsid w:val="00D50681"/>
    <w:rsid w:val="00D50800"/>
    <w:rsid w:val="00D5574F"/>
    <w:rsid w:val="00D62C07"/>
    <w:rsid w:val="00D70ECB"/>
    <w:rsid w:val="00D9244A"/>
    <w:rsid w:val="00DA5F51"/>
    <w:rsid w:val="00DB0ACF"/>
    <w:rsid w:val="00DB141F"/>
    <w:rsid w:val="00DB6BD7"/>
    <w:rsid w:val="00DC0F8B"/>
    <w:rsid w:val="00DD2A5E"/>
    <w:rsid w:val="00DD4B55"/>
    <w:rsid w:val="00DD7700"/>
    <w:rsid w:val="00DF41A9"/>
    <w:rsid w:val="00E06B21"/>
    <w:rsid w:val="00E138C3"/>
    <w:rsid w:val="00E2140B"/>
    <w:rsid w:val="00E31E1F"/>
    <w:rsid w:val="00E40E07"/>
    <w:rsid w:val="00E553FD"/>
    <w:rsid w:val="00E56DD3"/>
    <w:rsid w:val="00E61B28"/>
    <w:rsid w:val="00E62A3D"/>
    <w:rsid w:val="00E67314"/>
    <w:rsid w:val="00E77887"/>
    <w:rsid w:val="00E85B8C"/>
    <w:rsid w:val="00EA4E8D"/>
    <w:rsid w:val="00EA62E5"/>
    <w:rsid w:val="00EA76D3"/>
    <w:rsid w:val="00EB7C8F"/>
    <w:rsid w:val="00EC0827"/>
    <w:rsid w:val="00EC4B0B"/>
    <w:rsid w:val="00ED4978"/>
    <w:rsid w:val="00EE3B8C"/>
    <w:rsid w:val="00EE558D"/>
    <w:rsid w:val="00F01154"/>
    <w:rsid w:val="00F27A91"/>
    <w:rsid w:val="00F4095D"/>
    <w:rsid w:val="00F40E52"/>
    <w:rsid w:val="00F60223"/>
    <w:rsid w:val="00F73ECD"/>
    <w:rsid w:val="00F765F4"/>
    <w:rsid w:val="00F958CC"/>
    <w:rsid w:val="00F97C0B"/>
    <w:rsid w:val="00FA3BED"/>
    <w:rsid w:val="00FA552B"/>
    <w:rsid w:val="00FA62E6"/>
    <w:rsid w:val="00FB5ABE"/>
    <w:rsid w:val="00FD2DE4"/>
    <w:rsid w:val="00FE01EF"/>
    <w:rsid w:val="00FE4365"/>
    <w:rsid w:val="00FE7CF0"/>
    <w:rsid w:val="00FF1E19"/>
    <w:rsid w:val="00FF2B35"/>
    <w:rsid w:val="01166C39"/>
    <w:rsid w:val="011C748B"/>
    <w:rsid w:val="01307DB8"/>
    <w:rsid w:val="01764F01"/>
    <w:rsid w:val="019E0494"/>
    <w:rsid w:val="01BC6EAA"/>
    <w:rsid w:val="01BD387A"/>
    <w:rsid w:val="01EA1306"/>
    <w:rsid w:val="01ED62FC"/>
    <w:rsid w:val="01FD3C72"/>
    <w:rsid w:val="022371D7"/>
    <w:rsid w:val="024D6B6A"/>
    <w:rsid w:val="02585A0D"/>
    <w:rsid w:val="026B46B1"/>
    <w:rsid w:val="029B04E7"/>
    <w:rsid w:val="02B53888"/>
    <w:rsid w:val="02F172AC"/>
    <w:rsid w:val="03073BDC"/>
    <w:rsid w:val="032134E9"/>
    <w:rsid w:val="033F44DC"/>
    <w:rsid w:val="037B5FB5"/>
    <w:rsid w:val="03915DEB"/>
    <w:rsid w:val="03985ACE"/>
    <w:rsid w:val="03D4716A"/>
    <w:rsid w:val="042900C9"/>
    <w:rsid w:val="04A45057"/>
    <w:rsid w:val="04EE0CCB"/>
    <w:rsid w:val="0555228E"/>
    <w:rsid w:val="055870D1"/>
    <w:rsid w:val="056C3AED"/>
    <w:rsid w:val="058A1330"/>
    <w:rsid w:val="059D1E39"/>
    <w:rsid w:val="05E078B3"/>
    <w:rsid w:val="064035FC"/>
    <w:rsid w:val="066F1ED1"/>
    <w:rsid w:val="06D01934"/>
    <w:rsid w:val="070C599D"/>
    <w:rsid w:val="07250881"/>
    <w:rsid w:val="072B5A2B"/>
    <w:rsid w:val="07322F8B"/>
    <w:rsid w:val="07587973"/>
    <w:rsid w:val="075E42FF"/>
    <w:rsid w:val="077D0583"/>
    <w:rsid w:val="077E373B"/>
    <w:rsid w:val="079724D0"/>
    <w:rsid w:val="07A3082E"/>
    <w:rsid w:val="082A352F"/>
    <w:rsid w:val="084343C9"/>
    <w:rsid w:val="084D0ADD"/>
    <w:rsid w:val="084E1E18"/>
    <w:rsid w:val="08581907"/>
    <w:rsid w:val="088E2DBB"/>
    <w:rsid w:val="089D5DBC"/>
    <w:rsid w:val="08B05670"/>
    <w:rsid w:val="08C349D1"/>
    <w:rsid w:val="08C805D7"/>
    <w:rsid w:val="08CC0D13"/>
    <w:rsid w:val="09082337"/>
    <w:rsid w:val="093D6246"/>
    <w:rsid w:val="094A5FC4"/>
    <w:rsid w:val="0993533A"/>
    <w:rsid w:val="09BE4947"/>
    <w:rsid w:val="09F67CD5"/>
    <w:rsid w:val="0A7B50B4"/>
    <w:rsid w:val="0A8A3FFF"/>
    <w:rsid w:val="0B3D5147"/>
    <w:rsid w:val="0B6B20A7"/>
    <w:rsid w:val="0B9E71DF"/>
    <w:rsid w:val="0BB427D1"/>
    <w:rsid w:val="0BCD5C26"/>
    <w:rsid w:val="0BF10670"/>
    <w:rsid w:val="0C6F272A"/>
    <w:rsid w:val="0C9036C8"/>
    <w:rsid w:val="0C9D30C2"/>
    <w:rsid w:val="0CA126F2"/>
    <w:rsid w:val="0CEA509E"/>
    <w:rsid w:val="0D2F3891"/>
    <w:rsid w:val="0D426E1A"/>
    <w:rsid w:val="0D9D65F4"/>
    <w:rsid w:val="0DEE7CA5"/>
    <w:rsid w:val="0E172BD0"/>
    <w:rsid w:val="0E347579"/>
    <w:rsid w:val="0E6A1ECE"/>
    <w:rsid w:val="0E8F0168"/>
    <w:rsid w:val="0E9B4F32"/>
    <w:rsid w:val="0EC34966"/>
    <w:rsid w:val="0F0B4FFE"/>
    <w:rsid w:val="0F123F4C"/>
    <w:rsid w:val="0F1E67DB"/>
    <w:rsid w:val="0F9861DB"/>
    <w:rsid w:val="0FA67E91"/>
    <w:rsid w:val="0FD80B60"/>
    <w:rsid w:val="0FDB5B48"/>
    <w:rsid w:val="10860503"/>
    <w:rsid w:val="109076CE"/>
    <w:rsid w:val="10A50104"/>
    <w:rsid w:val="10A85FA8"/>
    <w:rsid w:val="10B658BE"/>
    <w:rsid w:val="10BA5ACA"/>
    <w:rsid w:val="10C92880"/>
    <w:rsid w:val="10FA22E3"/>
    <w:rsid w:val="115B3410"/>
    <w:rsid w:val="117A531D"/>
    <w:rsid w:val="119D7849"/>
    <w:rsid w:val="11AC1F75"/>
    <w:rsid w:val="122658B9"/>
    <w:rsid w:val="1242135C"/>
    <w:rsid w:val="1256212E"/>
    <w:rsid w:val="12AE3906"/>
    <w:rsid w:val="12C76FC6"/>
    <w:rsid w:val="12CB14EC"/>
    <w:rsid w:val="12D00DD7"/>
    <w:rsid w:val="13344428"/>
    <w:rsid w:val="133C5CE2"/>
    <w:rsid w:val="133F535B"/>
    <w:rsid w:val="13660260"/>
    <w:rsid w:val="136C3D77"/>
    <w:rsid w:val="139D335C"/>
    <w:rsid w:val="13A1683F"/>
    <w:rsid w:val="13C2790D"/>
    <w:rsid w:val="13E5601F"/>
    <w:rsid w:val="141B6583"/>
    <w:rsid w:val="14400B3F"/>
    <w:rsid w:val="1442596B"/>
    <w:rsid w:val="144714E3"/>
    <w:rsid w:val="146A0337"/>
    <w:rsid w:val="14AC00B9"/>
    <w:rsid w:val="14D55B5C"/>
    <w:rsid w:val="14DA3DA1"/>
    <w:rsid w:val="14FC2402"/>
    <w:rsid w:val="1505370E"/>
    <w:rsid w:val="15284EB8"/>
    <w:rsid w:val="155F3495"/>
    <w:rsid w:val="15BB7E2E"/>
    <w:rsid w:val="164B2296"/>
    <w:rsid w:val="17025890"/>
    <w:rsid w:val="17155857"/>
    <w:rsid w:val="173B456E"/>
    <w:rsid w:val="17950508"/>
    <w:rsid w:val="17C72718"/>
    <w:rsid w:val="18537599"/>
    <w:rsid w:val="18551679"/>
    <w:rsid w:val="188D68E8"/>
    <w:rsid w:val="189C69D9"/>
    <w:rsid w:val="18A34D06"/>
    <w:rsid w:val="18A72928"/>
    <w:rsid w:val="18C87C77"/>
    <w:rsid w:val="18F90C9A"/>
    <w:rsid w:val="19010C43"/>
    <w:rsid w:val="19013AC7"/>
    <w:rsid w:val="19084C73"/>
    <w:rsid w:val="194A0457"/>
    <w:rsid w:val="194F6F37"/>
    <w:rsid w:val="196018AD"/>
    <w:rsid w:val="196E5824"/>
    <w:rsid w:val="19713DD4"/>
    <w:rsid w:val="19AF5AFD"/>
    <w:rsid w:val="19BF7943"/>
    <w:rsid w:val="1A054259"/>
    <w:rsid w:val="1A097942"/>
    <w:rsid w:val="1ACB6909"/>
    <w:rsid w:val="1B0152D1"/>
    <w:rsid w:val="1B2B6940"/>
    <w:rsid w:val="1B5838BD"/>
    <w:rsid w:val="1B7F6005"/>
    <w:rsid w:val="1BA05608"/>
    <w:rsid w:val="1BAF4E35"/>
    <w:rsid w:val="1BAF6DD1"/>
    <w:rsid w:val="1BE82D8F"/>
    <w:rsid w:val="1C0F5C4A"/>
    <w:rsid w:val="1C132CB9"/>
    <w:rsid w:val="1C346C57"/>
    <w:rsid w:val="1CAA2901"/>
    <w:rsid w:val="1CB92F89"/>
    <w:rsid w:val="1CCC26CA"/>
    <w:rsid w:val="1D133E21"/>
    <w:rsid w:val="1D3A10D4"/>
    <w:rsid w:val="1D6041FB"/>
    <w:rsid w:val="1D61520F"/>
    <w:rsid w:val="1D786BCA"/>
    <w:rsid w:val="1D805936"/>
    <w:rsid w:val="1D843FB0"/>
    <w:rsid w:val="1DA83A0D"/>
    <w:rsid w:val="1DDF2ACE"/>
    <w:rsid w:val="1E94181D"/>
    <w:rsid w:val="1E9D6342"/>
    <w:rsid w:val="1EBF09C1"/>
    <w:rsid w:val="1ECD4B11"/>
    <w:rsid w:val="1ED879BC"/>
    <w:rsid w:val="1EED420F"/>
    <w:rsid w:val="1EF17B6F"/>
    <w:rsid w:val="1F6170A9"/>
    <w:rsid w:val="1F6200DE"/>
    <w:rsid w:val="1F652C38"/>
    <w:rsid w:val="1F9C5BBE"/>
    <w:rsid w:val="1FE14460"/>
    <w:rsid w:val="20200CA4"/>
    <w:rsid w:val="203063E1"/>
    <w:rsid w:val="204E6676"/>
    <w:rsid w:val="205C6F65"/>
    <w:rsid w:val="205F334B"/>
    <w:rsid w:val="20AA7DFE"/>
    <w:rsid w:val="20CB576A"/>
    <w:rsid w:val="20DC4C14"/>
    <w:rsid w:val="210634E6"/>
    <w:rsid w:val="21241A3D"/>
    <w:rsid w:val="215416B9"/>
    <w:rsid w:val="21822343"/>
    <w:rsid w:val="2194141D"/>
    <w:rsid w:val="2195668B"/>
    <w:rsid w:val="21A2535F"/>
    <w:rsid w:val="21A9601A"/>
    <w:rsid w:val="21AC0BE7"/>
    <w:rsid w:val="21BE044A"/>
    <w:rsid w:val="21BE5AD4"/>
    <w:rsid w:val="21CA2BAC"/>
    <w:rsid w:val="224E2FB0"/>
    <w:rsid w:val="22C84A78"/>
    <w:rsid w:val="23081A49"/>
    <w:rsid w:val="23460B97"/>
    <w:rsid w:val="23A82A04"/>
    <w:rsid w:val="23D11AFC"/>
    <w:rsid w:val="24210188"/>
    <w:rsid w:val="243066C8"/>
    <w:rsid w:val="24582DBC"/>
    <w:rsid w:val="245C52F8"/>
    <w:rsid w:val="2463385E"/>
    <w:rsid w:val="24B3612C"/>
    <w:rsid w:val="24CB3B1A"/>
    <w:rsid w:val="24DC7AA4"/>
    <w:rsid w:val="24EF3B79"/>
    <w:rsid w:val="250D568B"/>
    <w:rsid w:val="25134332"/>
    <w:rsid w:val="25191F5C"/>
    <w:rsid w:val="251E5D80"/>
    <w:rsid w:val="254C3941"/>
    <w:rsid w:val="25572F6C"/>
    <w:rsid w:val="256555F8"/>
    <w:rsid w:val="257E508F"/>
    <w:rsid w:val="25AA2ADA"/>
    <w:rsid w:val="25BF0A19"/>
    <w:rsid w:val="25CA37BB"/>
    <w:rsid w:val="25CB1963"/>
    <w:rsid w:val="25E06614"/>
    <w:rsid w:val="261A61EB"/>
    <w:rsid w:val="267E150F"/>
    <w:rsid w:val="26805650"/>
    <w:rsid w:val="26BF5712"/>
    <w:rsid w:val="26C46931"/>
    <w:rsid w:val="26F173AA"/>
    <w:rsid w:val="26F24A28"/>
    <w:rsid w:val="26F71EC7"/>
    <w:rsid w:val="274120CE"/>
    <w:rsid w:val="276D22A6"/>
    <w:rsid w:val="27805ED2"/>
    <w:rsid w:val="27AB7429"/>
    <w:rsid w:val="27B806C7"/>
    <w:rsid w:val="27F46C2F"/>
    <w:rsid w:val="27F713BD"/>
    <w:rsid w:val="280D0ABD"/>
    <w:rsid w:val="281418B3"/>
    <w:rsid w:val="285C053E"/>
    <w:rsid w:val="28641BC7"/>
    <w:rsid w:val="28706B14"/>
    <w:rsid w:val="28795D57"/>
    <w:rsid w:val="28CB2F20"/>
    <w:rsid w:val="290A7633"/>
    <w:rsid w:val="2945677B"/>
    <w:rsid w:val="296A164B"/>
    <w:rsid w:val="299711A3"/>
    <w:rsid w:val="29FA7F26"/>
    <w:rsid w:val="2A0F0262"/>
    <w:rsid w:val="2A11490E"/>
    <w:rsid w:val="2A24123C"/>
    <w:rsid w:val="2A7903F8"/>
    <w:rsid w:val="2A9E41A6"/>
    <w:rsid w:val="2AD176E8"/>
    <w:rsid w:val="2ADC074E"/>
    <w:rsid w:val="2B774832"/>
    <w:rsid w:val="2BC93350"/>
    <w:rsid w:val="2BCA1C44"/>
    <w:rsid w:val="2BE1364E"/>
    <w:rsid w:val="2C0A1E9D"/>
    <w:rsid w:val="2C4735A9"/>
    <w:rsid w:val="2C5312D1"/>
    <w:rsid w:val="2C6137E6"/>
    <w:rsid w:val="2C9600AF"/>
    <w:rsid w:val="2C9B39D4"/>
    <w:rsid w:val="2CA1029C"/>
    <w:rsid w:val="2CDB2A32"/>
    <w:rsid w:val="2CE74D9A"/>
    <w:rsid w:val="2CE94FBB"/>
    <w:rsid w:val="2D036243"/>
    <w:rsid w:val="2D11052F"/>
    <w:rsid w:val="2D2713FE"/>
    <w:rsid w:val="2D644464"/>
    <w:rsid w:val="2DAA1531"/>
    <w:rsid w:val="2DD31482"/>
    <w:rsid w:val="2DED4837"/>
    <w:rsid w:val="2DF81D7C"/>
    <w:rsid w:val="2DFC12C6"/>
    <w:rsid w:val="2E592BD6"/>
    <w:rsid w:val="2E9F709C"/>
    <w:rsid w:val="2ED53BA8"/>
    <w:rsid w:val="2EED0A13"/>
    <w:rsid w:val="2F031089"/>
    <w:rsid w:val="2F1251F2"/>
    <w:rsid w:val="2F65609A"/>
    <w:rsid w:val="2FBD09F9"/>
    <w:rsid w:val="30660B82"/>
    <w:rsid w:val="30962F3E"/>
    <w:rsid w:val="309F648F"/>
    <w:rsid w:val="30AA51DE"/>
    <w:rsid w:val="30B43BCB"/>
    <w:rsid w:val="30D17E68"/>
    <w:rsid w:val="30E43B67"/>
    <w:rsid w:val="30FF2795"/>
    <w:rsid w:val="310E3D65"/>
    <w:rsid w:val="3164591C"/>
    <w:rsid w:val="317F78A7"/>
    <w:rsid w:val="3199741D"/>
    <w:rsid w:val="31A561FB"/>
    <w:rsid w:val="31AA2223"/>
    <w:rsid w:val="31C32453"/>
    <w:rsid w:val="31C63526"/>
    <w:rsid w:val="31FD180E"/>
    <w:rsid w:val="320B4CF3"/>
    <w:rsid w:val="3214373A"/>
    <w:rsid w:val="32586AD3"/>
    <w:rsid w:val="327F30CF"/>
    <w:rsid w:val="329A6ACE"/>
    <w:rsid w:val="32AB75FA"/>
    <w:rsid w:val="32C64BD3"/>
    <w:rsid w:val="334F3544"/>
    <w:rsid w:val="33834A37"/>
    <w:rsid w:val="33A253D1"/>
    <w:rsid w:val="33FF73F9"/>
    <w:rsid w:val="34371266"/>
    <w:rsid w:val="345B1306"/>
    <w:rsid w:val="34797F6E"/>
    <w:rsid w:val="348D3D32"/>
    <w:rsid w:val="34C215EF"/>
    <w:rsid w:val="34CB6483"/>
    <w:rsid w:val="34EC39C4"/>
    <w:rsid w:val="35191B59"/>
    <w:rsid w:val="35997ED3"/>
    <w:rsid w:val="35B0594E"/>
    <w:rsid w:val="35C47CF3"/>
    <w:rsid w:val="35D5780F"/>
    <w:rsid w:val="360673D5"/>
    <w:rsid w:val="360B1D73"/>
    <w:rsid w:val="360B7EE7"/>
    <w:rsid w:val="36157D72"/>
    <w:rsid w:val="361F3323"/>
    <w:rsid w:val="364A298F"/>
    <w:rsid w:val="364A7B2B"/>
    <w:rsid w:val="3659312E"/>
    <w:rsid w:val="3681117A"/>
    <w:rsid w:val="36E93760"/>
    <w:rsid w:val="3784394E"/>
    <w:rsid w:val="379B41C4"/>
    <w:rsid w:val="37A62041"/>
    <w:rsid w:val="37F25734"/>
    <w:rsid w:val="380A0B96"/>
    <w:rsid w:val="38337F5B"/>
    <w:rsid w:val="385135F5"/>
    <w:rsid w:val="385F665C"/>
    <w:rsid w:val="388E6551"/>
    <w:rsid w:val="38AE3BB0"/>
    <w:rsid w:val="38DC5505"/>
    <w:rsid w:val="391F7D60"/>
    <w:rsid w:val="392B5B2F"/>
    <w:rsid w:val="392E58B6"/>
    <w:rsid w:val="39496AE3"/>
    <w:rsid w:val="3985660B"/>
    <w:rsid w:val="39BB13DA"/>
    <w:rsid w:val="39DB06B3"/>
    <w:rsid w:val="3A127976"/>
    <w:rsid w:val="3A1704BF"/>
    <w:rsid w:val="3A7A43B2"/>
    <w:rsid w:val="3A7E5091"/>
    <w:rsid w:val="3AC2467B"/>
    <w:rsid w:val="3AC253ED"/>
    <w:rsid w:val="3ACB5746"/>
    <w:rsid w:val="3AD258E7"/>
    <w:rsid w:val="3AE826D9"/>
    <w:rsid w:val="3B047F30"/>
    <w:rsid w:val="3B3664CC"/>
    <w:rsid w:val="3B673648"/>
    <w:rsid w:val="3BB20883"/>
    <w:rsid w:val="3BF5659F"/>
    <w:rsid w:val="3C134C38"/>
    <w:rsid w:val="3C394599"/>
    <w:rsid w:val="3C635BF2"/>
    <w:rsid w:val="3C7B540C"/>
    <w:rsid w:val="3C8C0B9E"/>
    <w:rsid w:val="3CE82456"/>
    <w:rsid w:val="3D0527AD"/>
    <w:rsid w:val="3D1D3E8C"/>
    <w:rsid w:val="3D7830E2"/>
    <w:rsid w:val="3D9F080E"/>
    <w:rsid w:val="3DA8275C"/>
    <w:rsid w:val="3DAD7029"/>
    <w:rsid w:val="3DDE6765"/>
    <w:rsid w:val="3E39525D"/>
    <w:rsid w:val="3E441C7D"/>
    <w:rsid w:val="3E7F0554"/>
    <w:rsid w:val="3ECB2614"/>
    <w:rsid w:val="3F104E7C"/>
    <w:rsid w:val="3F1E19C9"/>
    <w:rsid w:val="3F8D2B60"/>
    <w:rsid w:val="3FC956FF"/>
    <w:rsid w:val="400131B8"/>
    <w:rsid w:val="40151C98"/>
    <w:rsid w:val="402B196F"/>
    <w:rsid w:val="40375763"/>
    <w:rsid w:val="406B12D1"/>
    <w:rsid w:val="40903A47"/>
    <w:rsid w:val="409C0D37"/>
    <w:rsid w:val="40A36A71"/>
    <w:rsid w:val="40CB3E39"/>
    <w:rsid w:val="40D07704"/>
    <w:rsid w:val="40EA5ADE"/>
    <w:rsid w:val="410E4736"/>
    <w:rsid w:val="414D38DC"/>
    <w:rsid w:val="4169226D"/>
    <w:rsid w:val="419752E1"/>
    <w:rsid w:val="41A14CA0"/>
    <w:rsid w:val="41BC286E"/>
    <w:rsid w:val="41C577BA"/>
    <w:rsid w:val="41D3631F"/>
    <w:rsid w:val="41F46181"/>
    <w:rsid w:val="41F466FD"/>
    <w:rsid w:val="422B0BD2"/>
    <w:rsid w:val="427E2C9C"/>
    <w:rsid w:val="428434A1"/>
    <w:rsid w:val="42A67A24"/>
    <w:rsid w:val="42B84DF7"/>
    <w:rsid w:val="42D846B9"/>
    <w:rsid w:val="43015D68"/>
    <w:rsid w:val="432B156A"/>
    <w:rsid w:val="433817F8"/>
    <w:rsid w:val="43625625"/>
    <w:rsid w:val="43B97E64"/>
    <w:rsid w:val="43D54F80"/>
    <w:rsid w:val="440D5045"/>
    <w:rsid w:val="4466378D"/>
    <w:rsid w:val="44F5724A"/>
    <w:rsid w:val="4555581D"/>
    <w:rsid w:val="457602B0"/>
    <w:rsid w:val="457D7419"/>
    <w:rsid w:val="45BE6191"/>
    <w:rsid w:val="45BF679F"/>
    <w:rsid w:val="45FE24FC"/>
    <w:rsid w:val="460C5979"/>
    <w:rsid w:val="46AC250E"/>
    <w:rsid w:val="46C56CAD"/>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655CDB"/>
    <w:rsid w:val="488A4F97"/>
    <w:rsid w:val="48C169FF"/>
    <w:rsid w:val="48D321B5"/>
    <w:rsid w:val="48DC6BCF"/>
    <w:rsid w:val="4966417F"/>
    <w:rsid w:val="49701211"/>
    <w:rsid w:val="49E9233D"/>
    <w:rsid w:val="4A190059"/>
    <w:rsid w:val="4A2324A9"/>
    <w:rsid w:val="4A2C54FD"/>
    <w:rsid w:val="4A3703C6"/>
    <w:rsid w:val="4AAD1944"/>
    <w:rsid w:val="4AAE33DD"/>
    <w:rsid w:val="4AC31003"/>
    <w:rsid w:val="4AE93159"/>
    <w:rsid w:val="4AF26901"/>
    <w:rsid w:val="4AF8354A"/>
    <w:rsid w:val="4B0B4636"/>
    <w:rsid w:val="4B101FF1"/>
    <w:rsid w:val="4B3B3C56"/>
    <w:rsid w:val="4B6F5171"/>
    <w:rsid w:val="4B894E29"/>
    <w:rsid w:val="4B8A38B7"/>
    <w:rsid w:val="4BD0339A"/>
    <w:rsid w:val="4BE255AD"/>
    <w:rsid w:val="4C154D1E"/>
    <w:rsid w:val="4C1E62FB"/>
    <w:rsid w:val="4C247E4A"/>
    <w:rsid w:val="4C496DB3"/>
    <w:rsid w:val="4C8E2AE9"/>
    <w:rsid w:val="4D2455C6"/>
    <w:rsid w:val="4D462159"/>
    <w:rsid w:val="4D553300"/>
    <w:rsid w:val="4D5C5FAC"/>
    <w:rsid w:val="4D7D6E2D"/>
    <w:rsid w:val="4DA00E6E"/>
    <w:rsid w:val="4DC605B6"/>
    <w:rsid w:val="4DEC0985"/>
    <w:rsid w:val="4DFB4F20"/>
    <w:rsid w:val="4E27683A"/>
    <w:rsid w:val="4EC74CC4"/>
    <w:rsid w:val="4EF32FFF"/>
    <w:rsid w:val="4F232A9C"/>
    <w:rsid w:val="4F2765B1"/>
    <w:rsid w:val="4F285975"/>
    <w:rsid w:val="4F5E2A8B"/>
    <w:rsid w:val="4F8E43A5"/>
    <w:rsid w:val="4F952B74"/>
    <w:rsid w:val="4FBF79AC"/>
    <w:rsid w:val="4FE30CD5"/>
    <w:rsid w:val="50290C55"/>
    <w:rsid w:val="50520EBB"/>
    <w:rsid w:val="50607024"/>
    <w:rsid w:val="506A4F14"/>
    <w:rsid w:val="50701CEF"/>
    <w:rsid w:val="50751061"/>
    <w:rsid w:val="507C5FAD"/>
    <w:rsid w:val="507E3A43"/>
    <w:rsid w:val="50BE2993"/>
    <w:rsid w:val="50D63702"/>
    <w:rsid w:val="50F12C37"/>
    <w:rsid w:val="51101AA1"/>
    <w:rsid w:val="512F1290"/>
    <w:rsid w:val="51796EDE"/>
    <w:rsid w:val="51867298"/>
    <w:rsid w:val="518D4602"/>
    <w:rsid w:val="521936F1"/>
    <w:rsid w:val="52195EDF"/>
    <w:rsid w:val="52313387"/>
    <w:rsid w:val="523C02D8"/>
    <w:rsid w:val="52480238"/>
    <w:rsid w:val="525767B4"/>
    <w:rsid w:val="529357CD"/>
    <w:rsid w:val="529526FD"/>
    <w:rsid w:val="52D4333A"/>
    <w:rsid w:val="52E04D27"/>
    <w:rsid w:val="530448FE"/>
    <w:rsid w:val="532E278A"/>
    <w:rsid w:val="53492294"/>
    <w:rsid w:val="539A390F"/>
    <w:rsid w:val="53DB3477"/>
    <w:rsid w:val="54AF6B42"/>
    <w:rsid w:val="54B205EE"/>
    <w:rsid w:val="54E218CB"/>
    <w:rsid w:val="54E44BF8"/>
    <w:rsid w:val="54E80108"/>
    <w:rsid w:val="54FC325C"/>
    <w:rsid w:val="55050D67"/>
    <w:rsid w:val="559C3368"/>
    <w:rsid w:val="55DD6F2A"/>
    <w:rsid w:val="55F72D1E"/>
    <w:rsid w:val="56022FBC"/>
    <w:rsid w:val="562805B1"/>
    <w:rsid w:val="56514CF9"/>
    <w:rsid w:val="56553261"/>
    <w:rsid w:val="565975B0"/>
    <w:rsid w:val="56B41A58"/>
    <w:rsid w:val="56BC356A"/>
    <w:rsid w:val="56D577C5"/>
    <w:rsid w:val="56E23970"/>
    <w:rsid w:val="570856B7"/>
    <w:rsid w:val="573547FD"/>
    <w:rsid w:val="577A3C7D"/>
    <w:rsid w:val="578F220A"/>
    <w:rsid w:val="5798657F"/>
    <w:rsid w:val="57B06157"/>
    <w:rsid w:val="57D503EA"/>
    <w:rsid w:val="57FC07D9"/>
    <w:rsid w:val="58500F22"/>
    <w:rsid w:val="58581669"/>
    <w:rsid w:val="58B82BCC"/>
    <w:rsid w:val="590D1052"/>
    <w:rsid w:val="591C0009"/>
    <w:rsid w:val="593223A7"/>
    <w:rsid w:val="59610A7F"/>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752B"/>
    <w:rsid w:val="5B7C1136"/>
    <w:rsid w:val="5B7D506F"/>
    <w:rsid w:val="5BD20414"/>
    <w:rsid w:val="5BF54BBF"/>
    <w:rsid w:val="5C6B1600"/>
    <w:rsid w:val="5C8B39C5"/>
    <w:rsid w:val="5C921AD0"/>
    <w:rsid w:val="5CAF7180"/>
    <w:rsid w:val="5CC77483"/>
    <w:rsid w:val="5CCD5BE1"/>
    <w:rsid w:val="5CD94ADB"/>
    <w:rsid w:val="5CE45D66"/>
    <w:rsid w:val="5D182295"/>
    <w:rsid w:val="5D237020"/>
    <w:rsid w:val="5D3D3693"/>
    <w:rsid w:val="5D5F741C"/>
    <w:rsid w:val="5DAE151D"/>
    <w:rsid w:val="5DC07B62"/>
    <w:rsid w:val="5DFD51DB"/>
    <w:rsid w:val="5E0D36E5"/>
    <w:rsid w:val="5E7510E4"/>
    <w:rsid w:val="5EBD3AB4"/>
    <w:rsid w:val="5ED711BC"/>
    <w:rsid w:val="5F0A3BA8"/>
    <w:rsid w:val="5F1A5A71"/>
    <w:rsid w:val="5F3D3A73"/>
    <w:rsid w:val="5F434754"/>
    <w:rsid w:val="5F9E6C40"/>
    <w:rsid w:val="5FE87018"/>
    <w:rsid w:val="602765D8"/>
    <w:rsid w:val="602F201A"/>
    <w:rsid w:val="605F1B37"/>
    <w:rsid w:val="607C3753"/>
    <w:rsid w:val="609578A8"/>
    <w:rsid w:val="60C30855"/>
    <w:rsid w:val="60CC7FFA"/>
    <w:rsid w:val="610B17E6"/>
    <w:rsid w:val="61421EFD"/>
    <w:rsid w:val="615C2588"/>
    <w:rsid w:val="615C5041"/>
    <w:rsid w:val="61D705BD"/>
    <w:rsid w:val="61DD59E8"/>
    <w:rsid w:val="61E56B7B"/>
    <w:rsid w:val="622F56E3"/>
    <w:rsid w:val="62420984"/>
    <w:rsid w:val="626C4E5F"/>
    <w:rsid w:val="6271154E"/>
    <w:rsid w:val="627D0863"/>
    <w:rsid w:val="62A93DF4"/>
    <w:rsid w:val="62B70B91"/>
    <w:rsid w:val="63206216"/>
    <w:rsid w:val="634B3A82"/>
    <w:rsid w:val="63523344"/>
    <w:rsid w:val="63560707"/>
    <w:rsid w:val="6357067F"/>
    <w:rsid w:val="63D03DEE"/>
    <w:rsid w:val="63DD6E9C"/>
    <w:rsid w:val="641A2384"/>
    <w:rsid w:val="642167EE"/>
    <w:rsid w:val="64CB6601"/>
    <w:rsid w:val="64EF3666"/>
    <w:rsid w:val="64FC1880"/>
    <w:rsid w:val="65094EFF"/>
    <w:rsid w:val="651B3798"/>
    <w:rsid w:val="65370CD5"/>
    <w:rsid w:val="65847BBF"/>
    <w:rsid w:val="65B57404"/>
    <w:rsid w:val="65B93A8D"/>
    <w:rsid w:val="65CA1E2C"/>
    <w:rsid w:val="65D975AE"/>
    <w:rsid w:val="661746DD"/>
    <w:rsid w:val="664805B8"/>
    <w:rsid w:val="665E34DC"/>
    <w:rsid w:val="66C053F3"/>
    <w:rsid w:val="66CD03F2"/>
    <w:rsid w:val="66D221EE"/>
    <w:rsid w:val="66DA55D7"/>
    <w:rsid w:val="66F82180"/>
    <w:rsid w:val="670F41E0"/>
    <w:rsid w:val="677D25E8"/>
    <w:rsid w:val="678A787F"/>
    <w:rsid w:val="67AD6B3A"/>
    <w:rsid w:val="67BD0300"/>
    <w:rsid w:val="67D325C4"/>
    <w:rsid w:val="68031C5B"/>
    <w:rsid w:val="682616B3"/>
    <w:rsid w:val="682A4EAB"/>
    <w:rsid w:val="68316174"/>
    <w:rsid w:val="684D34F9"/>
    <w:rsid w:val="68F533A3"/>
    <w:rsid w:val="690453B7"/>
    <w:rsid w:val="690B53E9"/>
    <w:rsid w:val="690F418B"/>
    <w:rsid w:val="699323D6"/>
    <w:rsid w:val="69B32313"/>
    <w:rsid w:val="6A007B68"/>
    <w:rsid w:val="6A0409C8"/>
    <w:rsid w:val="6A700D2B"/>
    <w:rsid w:val="6A741183"/>
    <w:rsid w:val="6A7A2736"/>
    <w:rsid w:val="6A7B4B9C"/>
    <w:rsid w:val="6AA651A8"/>
    <w:rsid w:val="6AEB121D"/>
    <w:rsid w:val="6AFB78C4"/>
    <w:rsid w:val="6B004CFA"/>
    <w:rsid w:val="6B120A68"/>
    <w:rsid w:val="6B586E1F"/>
    <w:rsid w:val="6BAF5652"/>
    <w:rsid w:val="6C6F4FDA"/>
    <w:rsid w:val="6C89456C"/>
    <w:rsid w:val="6CA35C83"/>
    <w:rsid w:val="6CA52710"/>
    <w:rsid w:val="6CAC58B4"/>
    <w:rsid w:val="6D4A2539"/>
    <w:rsid w:val="6D572C9F"/>
    <w:rsid w:val="6D97094D"/>
    <w:rsid w:val="6DAE632B"/>
    <w:rsid w:val="6DF009F6"/>
    <w:rsid w:val="6E217EA6"/>
    <w:rsid w:val="6E2666BC"/>
    <w:rsid w:val="6E2F175D"/>
    <w:rsid w:val="6E605E8D"/>
    <w:rsid w:val="6E8959F5"/>
    <w:rsid w:val="6EBC6999"/>
    <w:rsid w:val="6EDF5FC3"/>
    <w:rsid w:val="6EF90D33"/>
    <w:rsid w:val="6F3F60AD"/>
    <w:rsid w:val="6F7A5D4F"/>
    <w:rsid w:val="6F83312B"/>
    <w:rsid w:val="6F901B66"/>
    <w:rsid w:val="6FA629D4"/>
    <w:rsid w:val="6FA70F58"/>
    <w:rsid w:val="6FD10552"/>
    <w:rsid w:val="6FFA3C1B"/>
    <w:rsid w:val="70014D67"/>
    <w:rsid w:val="70117B8A"/>
    <w:rsid w:val="70360B36"/>
    <w:rsid w:val="704F39D7"/>
    <w:rsid w:val="709E0125"/>
    <w:rsid w:val="70BB2EF0"/>
    <w:rsid w:val="70CC6A1F"/>
    <w:rsid w:val="70CE0A84"/>
    <w:rsid w:val="70E10DC3"/>
    <w:rsid w:val="70F054AD"/>
    <w:rsid w:val="71095983"/>
    <w:rsid w:val="712D59A6"/>
    <w:rsid w:val="71402F8B"/>
    <w:rsid w:val="71475ADB"/>
    <w:rsid w:val="717140CF"/>
    <w:rsid w:val="718F10F7"/>
    <w:rsid w:val="71D55C91"/>
    <w:rsid w:val="71DE13EC"/>
    <w:rsid w:val="722B37CD"/>
    <w:rsid w:val="72305A9A"/>
    <w:rsid w:val="72427DB1"/>
    <w:rsid w:val="726B260D"/>
    <w:rsid w:val="73287A23"/>
    <w:rsid w:val="7331324E"/>
    <w:rsid w:val="733946CF"/>
    <w:rsid w:val="73455C21"/>
    <w:rsid w:val="73710635"/>
    <w:rsid w:val="73BF03A5"/>
    <w:rsid w:val="73D425F7"/>
    <w:rsid w:val="73D6575A"/>
    <w:rsid w:val="73E636C1"/>
    <w:rsid w:val="74600E53"/>
    <w:rsid w:val="746A0CB1"/>
    <w:rsid w:val="74712AFB"/>
    <w:rsid w:val="74994192"/>
    <w:rsid w:val="74A31B48"/>
    <w:rsid w:val="74AD4F44"/>
    <w:rsid w:val="74BC1C78"/>
    <w:rsid w:val="750A2023"/>
    <w:rsid w:val="75171C24"/>
    <w:rsid w:val="75486E94"/>
    <w:rsid w:val="758D04C2"/>
    <w:rsid w:val="75AD0CCB"/>
    <w:rsid w:val="75E4396D"/>
    <w:rsid w:val="75F020A1"/>
    <w:rsid w:val="7615032B"/>
    <w:rsid w:val="76655349"/>
    <w:rsid w:val="7676736A"/>
    <w:rsid w:val="768F29EE"/>
    <w:rsid w:val="76926203"/>
    <w:rsid w:val="76933951"/>
    <w:rsid w:val="771D661B"/>
    <w:rsid w:val="771F7714"/>
    <w:rsid w:val="77207795"/>
    <w:rsid w:val="773903BD"/>
    <w:rsid w:val="773F662A"/>
    <w:rsid w:val="77617342"/>
    <w:rsid w:val="77890DAA"/>
    <w:rsid w:val="77D835AD"/>
    <w:rsid w:val="77EE2F48"/>
    <w:rsid w:val="77F10205"/>
    <w:rsid w:val="784E332E"/>
    <w:rsid w:val="78782A0D"/>
    <w:rsid w:val="78C57EA9"/>
    <w:rsid w:val="791A571A"/>
    <w:rsid w:val="79286132"/>
    <w:rsid w:val="797E392B"/>
    <w:rsid w:val="79A2171F"/>
    <w:rsid w:val="79A252FF"/>
    <w:rsid w:val="79D33056"/>
    <w:rsid w:val="79E119BE"/>
    <w:rsid w:val="79E65B55"/>
    <w:rsid w:val="79E76BC3"/>
    <w:rsid w:val="7A0131C9"/>
    <w:rsid w:val="7A0E722C"/>
    <w:rsid w:val="7A124C14"/>
    <w:rsid w:val="7A475E69"/>
    <w:rsid w:val="7A810C37"/>
    <w:rsid w:val="7ABB10EE"/>
    <w:rsid w:val="7B105707"/>
    <w:rsid w:val="7B302E56"/>
    <w:rsid w:val="7B350C9D"/>
    <w:rsid w:val="7B7D36B3"/>
    <w:rsid w:val="7B9741C7"/>
    <w:rsid w:val="7BD27B88"/>
    <w:rsid w:val="7C0A1E29"/>
    <w:rsid w:val="7C1E1AF3"/>
    <w:rsid w:val="7C26369C"/>
    <w:rsid w:val="7C311CA7"/>
    <w:rsid w:val="7C3933DF"/>
    <w:rsid w:val="7C4A37AF"/>
    <w:rsid w:val="7C590E02"/>
    <w:rsid w:val="7C9E5A24"/>
    <w:rsid w:val="7CAC00CB"/>
    <w:rsid w:val="7CBE2557"/>
    <w:rsid w:val="7CE73C35"/>
    <w:rsid w:val="7D022178"/>
    <w:rsid w:val="7D575412"/>
    <w:rsid w:val="7D62117D"/>
    <w:rsid w:val="7D7E5CB0"/>
    <w:rsid w:val="7D83197B"/>
    <w:rsid w:val="7DB3208B"/>
    <w:rsid w:val="7DB5193A"/>
    <w:rsid w:val="7DB54254"/>
    <w:rsid w:val="7E181D7D"/>
    <w:rsid w:val="7E3E1EF2"/>
    <w:rsid w:val="7E4B337A"/>
    <w:rsid w:val="7E5E744E"/>
    <w:rsid w:val="7E951513"/>
    <w:rsid w:val="7EA96AC5"/>
    <w:rsid w:val="7EB06086"/>
    <w:rsid w:val="7EC118B4"/>
    <w:rsid w:val="7EC83404"/>
    <w:rsid w:val="7ED01B68"/>
    <w:rsid w:val="7EF74FC9"/>
    <w:rsid w:val="7F3745CA"/>
    <w:rsid w:val="7F5A59DA"/>
    <w:rsid w:val="7F653669"/>
    <w:rsid w:val="7F750737"/>
    <w:rsid w:val="7F846976"/>
    <w:rsid w:val="7FA01201"/>
    <w:rsid w:val="7FB901DB"/>
    <w:rsid w:val="7FBB72CB"/>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9BCC326-D4E7-41D3-BED4-6228B076C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pPr>
      <w:tabs>
        <w:tab w:val="decimal" w:pos="0"/>
        <w:tab w:val="left" w:pos="1282"/>
        <w:tab w:val="right" w:pos="9660"/>
      </w:tabs>
      <w:spacing w:before="120" w:after="120"/>
      <w:ind w:rightChars="200" w:right="420"/>
      <w:jc w:val="left"/>
    </w:pPr>
    <w:rPr>
      <w:rFonts w:eastAsiaTheme="minorEastAsia"/>
      <w:b/>
      <w:bCs/>
      <w:sz w:val="20"/>
    </w:rPr>
  </w:style>
  <w:style w:type="paragraph" w:styleId="a8">
    <w:name w:val="List"/>
    <w:basedOn w:val="a"/>
    <w:qFormat/>
    <w:pPr>
      <w:ind w:left="568" w:hanging="284"/>
    </w:pPr>
  </w:style>
  <w:style w:type="paragraph" w:styleId="a9">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a">
    <w:name w:val="Normal (Web)"/>
    <w:basedOn w:val="a"/>
    <w:uiPriority w:val="99"/>
    <w:unhideWhenUsed/>
    <w:qFormat/>
    <w:pPr>
      <w:spacing w:after="0"/>
      <w:jc w:val="left"/>
    </w:pPr>
    <w:rPr>
      <w:rFonts w:ascii="宋体" w:hAnsi="宋体" w:cs="宋体"/>
      <w:sz w:val="24"/>
      <w:szCs w:val="24"/>
    </w:rPr>
  </w:style>
  <w:style w:type="paragraph" w:styleId="ab">
    <w:name w:val="annotation subject"/>
    <w:basedOn w:val="a3"/>
    <w:next w:val="a3"/>
    <w:link w:val="Char2"/>
    <w:uiPriority w:val="99"/>
    <w:semiHidden/>
    <w:unhideWhenUsed/>
    <w:qFormat/>
    <w:pPr>
      <w:spacing w:line="240" w:lineRule="auto"/>
    </w:pPr>
    <w:rPr>
      <w:b/>
      <w:bCs/>
      <w:sz w:val="20"/>
    </w:rPr>
  </w:style>
  <w:style w:type="table" w:styleId="ac">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99"/>
    <w:qFormat/>
    <w:rPr>
      <w:b/>
      <w:sz w:val="20"/>
      <w:szCs w:val="20"/>
      <w:shd w:val="clear" w:color="auto" w:fill="00A65A"/>
    </w:rPr>
  </w:style>
  <w:style w:type="character" w:styleId="ae">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0">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apple-converted-space">
    <w:name w:val="apple-converted-space"/>
    <w:basedOn w:val="a0"/>
    <w:qFormat/>
  </w:style>
  <w:style w:type="character" w:customStyle="1" w:styleId="Char0">
    <w:name w:val="批注框文本 Char"/>
    <w:basedOn w:val="a0"/>
    <w:link w:val="a5"/>
    <w:uiPriority w:val="99"/>
    <w:semiHidden/>
    <w:qFormat/>
    <w:rPr>
      <w:rFonts w:ascii="Microsoft YaHei UI" w:eastAsia="Microsoft YaHei UI"/>
      <w:kern w:val="2"/>
      <w:sz w:val="18"/>
      <w:szCs w:val="18"/>
    </w:rPr>
  </w:style>
  <w:style w:type="character" w:customStyle="1" w:styleId="Char">
    <w:name w:val="批注文字 Char"/>
    <w:basedOn w:val="a0"/>
    <w:link w:val="a3"/>
    <w:semiHidden/>
    <w:qFormat/>
    <w:rPr>
      <w:kern w:val="2"/>
      <w:sz w:val="21"/>
    </w:rPr>
  </w:style>
  <w:style w:type="character" w:customStyle="1" w:styleId="Char2">
    <w:name w:val="批注主题 Char"/>
    <w:basedOn w:val="Char"/>
    <w:link w:val="ab"/>
    <w:uiPriority w:val="99"/>
    <w:semiHidden/>
    <w:qFormat/>
    <w:rPr>
      <w:b/>
      <w:bCs/>
      <w:kern w:val="2"/>
      <w:sz w:val="21"/>
    </w:rPr>
  </w:style>
  <w:style w:type="character" w:customStyle="1" w:styleId="Char1">
    <w:name w:val="页眉 Char"/>
    <w:basedOn w:val="a0"/>
    <w:link w:val="a7"/>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qFormat/>
    <w:pPr>
      <w:spacing w:after="0" w:line="240" w:lineRule="auto"/>
    </w:pPr>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8"/>
    <w:qFormat/>
  </w:style>
  <w:style w:type="paragraph" w:customStyle="1" w:styleId="ListParagraph1">
    <w:name w:val="List Paragraph1"/>
    <w:basedOn w:val="a"/>
    <w:qFormat/>
    <w:pPr>
      <w:spacing w:beforeLines="0" w:before="100" w:beforeAutospacing="1" w:afterLines="0" w:after="100" w:afterAutospacing="1" w:line="240" w:lineRule="auto"/>
      <w:ind w:leftChars="400" w:left="840"/>
      <w:jc w:val="left"/>
    </w:pPr>
    <w:rPr>
      <w:rFonts w:eastAsia="MS Gothic"/>
      <w:kern w:val="0"/>
      <w:sz w:val="24"/>
      <w:szCs w:val="24"/>
    </w:rPr>
  </w:style>
  <w:style w:type="paragraph" w:customStyle="1" w:styleId="TAH">
    <w:name w:val="TAH"/>
    <w:basedOn w:val="a"/>
    <w:qFormat/>
    <w:pPr>
      <w:keepNext/>
      <w:keepLines/>
      <w:widowControl w:val="0"/>
      <w:overflowPunct w:val="0"/>
      <w:autoSpaceDE w:val="0"/>
      <w:autoSpaceDN w:val="0"/>
      <w:adjustRightInd w:val="0"/>
      <w:spacing w:beforeLines="0" w:before="0" w:afterLines="0" w:after="0" w:line="240" w:lineRule="auto"/>
      <w:jc w:val="center"/>
      <w:textAlignment w:val="baseline"/>
    </w:pPr>
    <w:rPr>
      <w:rFonts w:ascii="Arial" w:eastAsia="Times New Roman" w:hAnsi="Arial"/>
      <w:b/>
      <w:bCs/>
      <w:kern w:val="0"/>
      <w:sz w:val="18"/>
      <w:szCs w:val="18"/>
    </w:rPr>
  </w:style>
  <w:style w:type="paragraph" w:customStyle="1" w:styleId="TAN">
    <w:name w:val="TAN"/>
    <w:basedOn w:val="TAL"/>
    <w:qFormat/>
    <w:pPr>
      <w:widowControl w:val="0"/>
      <w:spacing w:beforeLines="0" w:before="100" w:beforeAutospacing="1" w:afterLines="0" w:after="100" w:afterAutospacing="1" w:line="240" w:lineRule="auto"/>
      <w:ind w:left="851" w:hanging="851"/>
      <w:jc w:val="left"/>
    </w:pPr>
    <w:rPr>
      <w:kern w:val="0"/>
      <w:szCs w:val="18"/>
    </w:rPr>
  </w:style>
  <w:style w:type="paragraph" w:customStyle="1" w:styleId="13">
    <w:name w:val="列出段落1"/>
    <w:basedOn w:val="a"/>
    <w:qFormat/>
    <w:pPr>
      <w:spacing w:beforeLines="0" w:before="100" w:beforeAutospacing="1" w:afterLines="0" w:after="100" w:afterAutospacing="1" w:line="240" w:lineRule="auto"/>
      <w:ind w:leftChars="400" w:left="840"/>
      <w:jc w:val="left"/>
    </w:pPr>
    <w:rPr>
      <w:rFonts w:eastAsia="MS Gothic"/>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54495F-DE3A-47B0-A1ED-543735D46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1192</Words>
  <Characters>6799</Characters>
  <Application>Microsoft Office Word</Application>
  <DocSecurity>0</DocSecurity>
  <Lines>56</Lines>
  <Paragraphs>15</Paragraphs>
  <ScaleCrop>false</ScaleCrop>
  <Company/>
  <LinksUpToDate>false</LinksUpToDate>
  <CharactersWithSpaces>7976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ZTE,Mengzhu</cp:lastModifiedBy>
  <cp:revision>182</cp:revision>
  <dcterms:created xsi:type="dcterms:W3CDTF">2019-04-08T03:09:00Z</dcterms:created>
  <dcterms:modified xsi:type="dcterms:W3CDTF">2021-11-05T11:39:00Z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